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54D" w:rsidRDefault="004E554D" w:rsidP="00C620BC">
      <w:pPr>
        <w:spacing w:line="360" w:lineRule="auto"/>
        <w:jc w:val="center"/>
        <w:rPr>
          <w:rFonts w:ascii="Tahoma" w:eastAsia="Times New Roman" w:hAnsi="Tahoma" w:cs="Tahoma"/>
          <w:bCs/>
          <w:color w:val="548DD4"/>
          <w:sz w:val="32"/>
          <w:szCs w:val="32"/>
          <w:rtl/>
        </w:rPr>
      </w:pPr>
      <w:r>
        <w:rPr>
          <w:rFonts w:ascii="Tahoma" w:eastAsia="Times New Roman" w:hAnsi="Tahoma" w:cs="Tahoma"/>
          <w:bCs/>
          <w:noProof/>
          <w:color w:val="548DD4"/>
          <w:sz w:val="32"/>
          <w:szCs w:val="32"/>
          <w:rtl/>
          <w:lang w:val="he-IL"/>
        </w:rPr>
        <w:drawing>
          <wp:anchor distT="0" distB="0" distL="114300" distR="114300" simplePos="0" relativeHeight="251658240" behindDoc="1" locked="0" layoutInCell="1" allowOverlap="1">
            <wp:simplePos x="0" y="0"/>
            <wp:positionH relativeFrom="column">
              <wp:posOffset>3933825</wp:posOffset>
            </wp:positionH>
            <wp:positionV relativeFrom="paragraph">
              <wp:posOffset>0</wp:posOffset>
            </wp:positionV>
            <wp:extent cx="2133600" cy="676275"/>
            <wp:effectExtent l="0" t="0" r="0" b="0"/>
            <wp:wrapTight wrapText="bothSides">
              <wp:wrapPolygon edited="0">
                <wp:start x="8871" y="1825"/>
                <wp:lineTo x="6364" y="3042"/>
                <wp:lineTo x="5400" y="5476"/>
                <wp:lineTo x="5400" y="12777"/>
                <wp:lineTo x="6557" y="20079"/>
                <wp:lineTo x="7521" y="20079"/>
                <wp:lineTo x="21407" y="18862"/>
                <wp:lineTo x="21407" y="9127"/>
                <wp:lineTo x="19864" y="1825"/>
                <wp:lineTo x="8871" y="1825"/>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54D" w:rsidRPr="004E554D" w:rsidRDefault="004E554D" w:rsidP="00C620BC">
      <w:pPr>
        <w:spacing w:line="360" w:lineRule="auto"/>
        <w:jc w:val="center"/>
        <w:rPr>
          <w:rFonts w:ascii="Tahoma" w:eastAsia="Times New Roman" w:hAnsi="Tahoma" w:cs="Tahoma"/>
          <w:bCs/>
          <w:sz w:val="24"/>
          <w:szCs w:val="24"/>
          <w:rtl/>
        </w:rPr>
      </w:pPr>
      <w:r>
        <w:rPr>
          <w:rFonts w:ascii="Tahoma" w:eastAsia="Times New Roman" w:hAnsi="Tahoma" w:cs="Tahoma" w:hint="cs"/>
          <w:bCs/>
          <w:sz w:val="24"/>
          <w:szCs w:val="24"/>
          <w:rtl/>
        </w:rPr>
        <w:t xml:space="preserve">                                                                          </w:t>
      </w:r>
      <w:bookmarkStart w:id="0" w:name="_GoBack"/>
      <w:bookmarkEnd w:id="0"/>
      <w:r w:rsidRPr="004E554D">
        <w:rPr>
          <w:rFonts w:ascii="Tahoma" w:eastAsia="Times New Roman" w:hAnsi="Tahoma" w:cs="Tahoma" w:hint="cs"/>
          <w:bCs/>
          <w:sz w:val="24"/>
          <w:szCs w:val="24"/>
          <w:rtl/>
        </w:rPr>
        <w:t>עדכון: תשפ"א</w:t>
      </w:r>
    </w:p>
    <w:p w:rsidR="0066256B" w:rsidRPr="00C620BC" w:rsidRDefault="0066256B" w:rsidP="00C620BC">
      <w:pPr>
        <w:spacing w:line="360" w:lineRule="auto"/>
        <w:jc w:val="center"/>
        <w:rPr>
          <w:rFonts w:ascii="Tahoma" w:eastAsia="Times New Roman" w:hAnsi="Tahoma" w:cs="Tahoma"/>
          <w:bCs/>
          <w:color w:val="548DD4"/>
          <w:sz w:val="32"/>
          <w:szCs w:val="32"/>
        </w:rPr>
      </w:pPr>
      <w:r w:rsidRPr="00C620BC">
        <w:rPr>
          <w:rFonts w:ascii="Tahoma" w:eastAsia="Times New Roman" w:hAnsi="Tahoma" w:cs="Tahoma"/>
          <w:bCs/>
          <w:color w:val="548DD4"/>
          <w:sz w:val="32"/>
          <w:szCs w:val="32"/>
          <w:rtl/>
        </w:rPr>
        <w:t xml:space="preserve">המזרח התיכון ומלחמת העולם הראשונה </w:t>
      </w:r>
    </w:p>
    <w:p w:rsidR="0066256B" w:rsidRPr="00C620BC" w:rsidRDefault="0066256B" w:rsidP="00C620BC">
      <w:pPr>
        <w:spacing w:line="360" w:lineRule="auto"/>
        <w:jc w:val="center"/>
        <w:rPr>
          <w:rFonts w:ascii="Tahoma" w:eastAsia="Times New Roman" w:hAnsi="Tahoma" w:cs="Tahoma"/>
          <w:b/>
          <w:color w:val="548DD4"/>
          <w:sz w:val="26"/>
          <w:szCs w:val="26"/>
          <w:rtl/>
        </w:rPr>
      </w:pPr>
      <w:r w:rsidRPr="00C620BC">
        <w:rPr>
          <w:rFonts w:ascii="Tahoma" w:eastAsia="Times New Roman" w:hAnsi="Tahoma" w:cs="Tahoma"/>
          <w:b/>
          <w:color w:val="548DD4"/>
          <w:sz w:val="26"/>
          <w:szCs w:val="26"/>
        </w:rPr>
        <w:t>19-427</w:t>
      </w:r>
      <w:r w:rsidR="000570FC" w:rsidRPr="00C620BC">
        <w:rPr>
          <w:rFonts w:ascii="Tahoma" w:eastAsia="Times New Roman" w:hAnsi="Tahoma" w:cs="Tahoma"/>
          <w:b/>
          <w:color w:val="548DD4"/>
          <w:sz w:val="26"/>
          <w:szCs w:val="26"/>
        </w:rPr>
        <w:t>\8</w:t>
      </w:r>
      <w:r w:rsidRPr="00C620BC">
        <w:rPr>
          <w:rFonts w:ascii="Tahoma" w:eastAsia="Times New Roman" w:hAnsi="Tahoma" w:cs="Tahoma"/>
          <w:b/>
          <w:color w:val="548DD4"/>
          <w:sz w:val="26"/>
          <w:szCs w:val="26"/>
        </w:rPr>
        <w:t>-01</w:t>
      </w:r>
    </w:p>
    <w:p w:rsidR="000570FC" w:rsidRPr="00C620BC" w:rsidRDefault="000570FC" w:rsidP="00C620BC">
      <w:pPr>
        <w:spacing w:line="360" w:lineRule="auto"/>
        <w:jc w:val="center"/>
        <w:rPr>
          <w:rFonts w:ascii="Tahoma" w:eastAsia="Times New Roman" w:hAnsi="Tahoma" w:cs="Tahoma"/>
          <w:bCs/>
          <w:color w:val="548DD4"/>
          <w:sz w:val="26"/>
          <w:szCs w:val="26"/>
          <w:rtl/>
        </w:rPr>
      </w:pPr>
      <w:r w:rsidRPr="00C620BC">
        <w:rPr>
          <w:rFonts w:ascii="Tahoma" w:eastAsia="Times New Roman" w:hAnsi="Tahoma" w:cs="Tahoma"/>
          <w:bCs/>
          <w:color w:val="548DD4"/>
          <w:sz w:val="26"/>
          <w:szCs w:val="26"/>
          <w:rtl/>
        </w:rPr>
        <w:t xml:space="preserve">פרופ' אליעזר </w:t>
      </w:r>
      <w:proofErr w:type="spellStart"/>
      <w:r w:rsidRPr="00C620BC">
        <w:rPr>
          <w:rFonts w:ascii="Tahoma" w:eastAsia="Times New Roman" w:hAnsi="Tahoma" w:cs="Tahoma"/>
          <w:bCs/>
          <w:color w:val="548DD4"/>
          <w:sz w:val="26"/>
          <w:szCs w:val="26"/>
          <w:rtl/>
        </w:rPr>
        <w:t>טאובר</w:t>
      </w:r>
      <w:proofErr w:type="spellEnd"/>
    </w:p>
    <w:p w:rsidR="0066256B" w:rsidRPr="00043B0D" w:rsidRDefault="0066256B" w:rsidP="00C620BC">
      <w:pPr>
        <w:spacing w:line="360" w:lineRule="auto"/>
        <w:jc w:val="center"/>
        <w:rPr>
          <w:sz w:val="24"/>
          <w:szCs w:val="24"/>
        </w:rPr>
      </w:pPr>
      <w:r w:rsidRPr="00043B0D">
        <w:rPr>
          <w:rFonts w:ascii="David" w:eastAsia="David" w:hAnsi="David" w:cs="David"/>
          <w:b/>
          <w:bCs/>
          <w:sz w:val="24"/>
          <w:szCs w:val="24"/>
          <w:rtl/>
        </w:rPr>
        <w:t>סוג הקורס:</w:t>
      </w:r>
      <w:r w:rsidRPr="00043B0D">
        <w:rPr>
          <w:rFonts w:ascii="David" w:eastAsia="David" w:hAnsi="David" w:cs="David"/>
          <w:sz w:val="24"/>
          <w:szCs w:val="24"/>
          <w:rtl/>
        </w:rPr>
        <w:t xml:space="preserve">  </w:t>
      </w:r>
      <w:r w:rsidR="000570FC" w:rsidRPr="00043B0D">
        <w:rPr>
          <w:rFonts w:ascii="David" w:eastAsia="David" w:hAnsi="David" w:cs="David" w:hint="cs"/>
          <w:sz w:val="24"/>
          <w:szCs w:val="24"/>
          <w:rtl/>
        </w:rPr>
        <w:t xml:space="preserve">הרצאה\פרוס סמינריון, </w:t>
      </w:r>
      <w:r w:rsidRPr="00043B0D">
        <w:rPr>
          <w:rFonts w:ascii="David" w:eastAsia="David" w:hAnsi="David" w:cs="David"/>
          <w:sz w:val="24"/>
          <w:szCs w:val="24"/>
          <w:rtl/>
        </w:rPr>
        <w:t>תואר שני</w:t>
      </w:r>
    </w:p>
    <w:p w:rsidR="000570FC" w:rsidRPr="00043B0D" w:rsidRDefault="0066256B" w:rsidP="00C620BC">
      <w:pPr>
        <w:spacing w:line="360" w:lineRule="auto"/>
        <w:jc w:val="center"/>
        <w:rPr>
          <w:rFonts w:ascii="Arial" w:hAnsi="Arial" w:cs="Arial"/>
          <w:sz w:val="24"/>
          <w:szCs w:val="24"/>
          <w:rtl/>
        </w:rPr>
      </w:pPr>
      <w:r w:rsidRPr="00043B0D">
        <w:rPr>
          <w:rFonts w:ascii="David" w:eastAsia="David" w:hAnsi="David" w:cs="David"/>
          <w:b/>
          <w:bCs/>
          <w:sz w:val="24"/>
          <w:szCs w:val="24"/>
          <w:rtl/>
        </w:rPr>
        <w:t>שנת לימודים</w:t>
      </w:r>
      <w:r w:rsidRPr="00043B0D">
        <w:rPr>
          <w:rFonts w:ascii="David" w:eastAsia="David" w:hAnsi="David" w:cs="David"/>
          <w:sz w:val="24"/>
          <w:szCs w:val="24"/>
          <w:rtl/>
        </w:rPr>
        <w:t>: תש</w:t>
      </w:r>
      <w:r w:rsidR="000570FC" w:rsidRPr="00043B0D">
        <w:rPr>
          <w:rFonts w:ascii="David" w:eastAsia="David" w:hAnsi="David" w:cs="David" w:hint="cs"/>
          <w:sz w:val="24"/>
          <w:szCs w:val="24"/>
          <w:rtl/>
        </w:rPr>
        <w:t>פ"א</w:t>
      </w:r>
      <w:r w:rsidRPr="00043B0D">
        <w:rPr>
          <w:rFonts w:ascii="David" w:eastAsia="David" w:hAnsi="David" w:cs="David"/>
          <w:sz w:val="24"/>
          <w:szCs w:val="24"/>
          <w:rtl/>
        </w:rPr>
        <w:t xml:space="preserve">     </w:t>
      </w:r>
      <w:r w:rsidR="000570FC" w:rsidRPr="00043B0D">
        <w:rPr>
          <w:rFonts w:ascii="David" w:eastAsia="David" w:hAnsi="David" w:cs="David" w:hint="cs"/>
          <w:sz w:val="24"/>
          <w:szCs w:val="24"/>
          <w:rtl/>
        </w:rPr>
        <w:t xml:space="preserve">      </w:t>
      </w:r>
      <w:r w:rsidRPr="00043B0D">
        <w:rPr>
          <w:rFonts w:ascii="David" w:eastAsia="David" w:hAnsi="David" w:cs="David"/>
          <w:sz w:val="24"/>
          <w:szCs w:val="24"/>
          <w:rtl/>
        </w:rPr>
        <w:t xml:space="preserve"> </w:t>
      </w:r>
      <w:r w:rsidRPr="00043B0D">
        <w:rPr>
          <w:rFonts w:ascii="David" w:eastAsia="David" w:hAnsi="David" w:cs="David"/>
          <w:b/>
          <w:bCs/>
          <w:sz w:val="24"/>
          <w:szCs w:val="24"/>
          <w:rtl/>
        </w:rPr>
        <w:t>סמסטר</w:t>
      </w:r>
      <w:r w:rsidRPr="00043B0D">
        <w:rPr>
          <w:rFonts w:ascii="David" w:eastAsia="David" w:hAnsi="David" w:cs="David"/>
          <w:sz w:val="24"/>
          <w:szCs w:val="24"/>
          <w:rtl/>
        </w:rPr>
        <w:t xml:space="preserve">: שנתי               </w:t>
      </w:r>
      <w:r w:rsidRPr="00043B0D">
        <w:rPr>
          <w:rFonts w:ascii="David" w:eastAsia="David" w:hAnsi="David" w:cs="David"/>
          <w:b/>
          <w:bCs/>
          <w:sz w:val="24"/>
          <w:szCs w:val="24"/>
          <w:rtl/>
        </w:rPr>
        <w:t>היקף שעות</w:t>
      </w:r>
      <w:r w:rsidRPr="00043B0D">
        <w:rPr>
          <w:rFonts w:ascii="David" w:eastAsia="David" w:hAnsi="David" w:cs="David"/>
          <w:sz w:val="24"/>
          <w:szCs w:val="24"/>
          <w:rtl/>
        </w:rPr>
        <w:t xml:space="preserve">:  2 </w:t>
      </w:r>
      <w:proofErr w:type="spellStart"/>
      <w:r w:rsidRPr="00043B0D">
        <w:rPr>
          <w:rFonts w:ascii="David" w:eastAsia="David" w:hAnsi="David" w:cs="David"/>
          <w:sz w:val="24"/>
          <w:szCs w:val="24"/>
          <w:rtl/>
        </w:rPr>
        <w:t>ש"ש</w:t>
      </w:r>
      <w:proofErr w:type="spellEnd"/>
    </w:p>
    <w:p w:rsidR="000570FC" w:rsidRPr="00043B0D" w:rsidRDefault="000570FC" w:rsidP="00C620BC">
      <w:pPr>
        <w:spacing w:line="360" w:lineRule="auto"/>
        <w:rPr>
          <w:rFonts w:ascii="David" w:eastAsia="Times New Roman" w:hAnsi="David" w:cs="David"/>
          <w:bCs/>
          <w:color w:val="548DD4"/>
          <w:sz w:val="24"/>
          <w:szCs w:val="24"/>
        </w:rPr>
      </w:pPr>
      <w:r w:rsidRPr="00043B0D">
        <w:rPr>
          <w:rFonts w:ascii="David" w:eastAsia="Times New Roman" w:hAnsi="David" w:cs="David"/>
          <w:bCs/>
          <w:color w:val="548DD4"/>
          <w:sz w:val="24"/>
          <w:szCs w:val="24"/>
          <w:rtl/>
        </w:rPr>
        <w:t>מטרות הקורס</w:t>
      </w:r>
      <w:r w:rsidRPr="00043B0D">
        <w:rPr>
          <w:rFonts w:ascii="David" w:eastAsia="Times New Roman" w:hAnsi="David" w:cs="David"/>
          <w:bCs/>
          <w:color w:val="548DD4"/>
          <w:sz w:val="24"/>
          <w:szCs w:val="24"/>
        </w:rPr>
        <w:t>:</w:t>
      </w:r>
      <w:r w:rsidRPr="00043B0D">
        <w:rPr>
          <w:rFonts w:ascii="David" w:eastAsia="Times New Roman" w:hAnsi="David" w:cs="David" w:hint="cs"/>
          <w:bCs/>
          <w:color w:val="548DD4"/>
          <w:sz w:val="24"/>
          <w:szCs w:val="24"/>
          <w:rtl/>
        </w:rPr>
        <w:t xml:space="preserve"> </w:t>
      </w:r>
    </w:p>
    <w:p w:rsidR="000570FC" w:rsidRPr="00043B0D" w:rsidRDefault="000570FC" w:rsidP="00C620BC">
      <w:pPr>
        <w:spacing w:line="360" w:lineRule="auto"/>
        <w:rPr>
          <w:rFonts w:ascii="David" w:eastAsia="David" w:hAnsi="David" w:cs="David"/>
          <w:sz w:val="24"/>
          <w:szCs w:val="24"/>
        </w:rPr>
      </w:pPr>
      <w:r w:rsidRPr="00043B0D">
        <w:rPr>
          <w:rFonts w:ascii="David" w:eastAsia="David" w:hAnsi="David" w:cs="David"/>
          <w:sz w:val="24"/>
          <w:szCs w:val="24"/>
          <w:rtl/>
        </w:rPr>
        <w:t>מטרת הקורס לדון בהעמקה בתולדות המזרח התיכון בזמן מלחמת העולם הראשונה תוך שימת דגש על התפתחות התנועות הלאומיות באזור בתקופה זו.</w:t>
      </w:r>
    </w:p>
    <w:p w:rsidR="000570FC" w:rsidRPr="00043B0D" w:rsidRDefault="000570FC" w:rsidP="00C620BC">
      <w:pPr>
        <w:spacing w:line="360" w:lineRule="auto"/>
        <w:rPr>
          <w:rFonts w:ascii="David" w:eastAsia="Times New Roman" w:hAnsi="David" w:cs="David"/>
          <w:bCs/>
          <w:color w:val="548DD4"/>
          <w:sz w:val="24"/>
          <w:szCs w:val="24"/>
        </w:rPr>
      </w:pPr>
      <w:r w:rsidRPr="00043B0D">
        <w:rPr>
          <w:rFonts w:ascii="David" w:eastAsia="Times New Roman" w:hAnsi="David" w:cs="David" w:hint="cs"/>
          <w:bCs/>
          <w:color w:val="548DD4"/>
          <w:sz w:val="24"/>
          <w:szCs w:val="24"/>
          <w:rtl/>
        </w:rPr>
        <w:t xml:space="preserve">תוכן הקורס: </w:t>
      </w:r>
    </w:p>
    <w:p w:rsidR="000570FC" w:rsidRPr="00043B0D" w:rsidRDefault="000570FC" w:rsidP="00C620BC">
      <w:pPr>
        <w:spacing w:line="360" w:lineRule="auto"/>
        <w:rPr>
          <w:rFonts w:ascii="David" w:eastAsia="David" w:hAnsi="David" w:cs="David"/>
          <w:b/>
          <w:bCs/>
          <w:color w:val="0000FF"/>
          <w:sz w:val="24"/>
          <w:szCs w:val="24"/>
        </w:rPr>
      </w:pPr>
      <w:r w:rsidRPr="00043B0D">
        <w:rPr>
          <w:rFonts w:ascii="David" w:eastAsia="David" w:hAnsi="David" w:cs="David"/>
          <w:sz w:val="24"/>
          <w:szCs w:val="24"/>
          <w:rtl/>
        </w:rPr>
        <w:t xml:space="preserve">הקורס פותח בסקירה צבאית ופוליטית של תולדות מלחמת העולם הראשונה במזרח התיכון, ולאחר מכן עובר לדון </w:t>
      </w:r>
      <w:proofErr w:type="spellStart"/>
      <w:r w:rsidRPr="00043B0D">
        <w:rPr>
          <w:rFonts w:ascii="David" w:eastAsia="David" w:hAnsi="David" w:cs="David"/>
          <w:sz w:val="24"/>
          <w:szCs w:val="24"/>
          <w:rtl/>
        </w:rPr>
        <w:t>בנסיונותיהם</w:t>
      </w:r>
      <w:proofErr w:type="spellEnd"/>
      <w:r w:rsidRPr="00043B0D">
        <w:rPr>
          <w:rFonts w:ascii="David" w:eastAsia="David" w:hAnsi="David" w:cs="David"/>
          <w:sz w:val="24"/>
          <w:szCs w:val="24"/>
          <w:rtl/>
        </w:rPr>
        <w:t xml:space="preserve"> של ערביי האזור להשתחרר מעולה של האימפריה </w:t>
      </w:r>
      <w:proofErr w:type="spellStart"/>
      <w:r w:rsidRPr="00043B0D">
        <w:rPr>
          <w:rFonts w:ascii="David" w:eastAsia="David" w:hAnsi="David" w:cs="David"/>
          <w:sz w:val="24"/>
          <w:szCs w:val="24"/>
          <w:rtl/>
        </w:rPr>
        <w:t>העת'מאנית</w:t>
      </w:r>
      <w:proofErr w:type="spellEnd"/>
      <w:r w:rsidRPr="00043B0D">
        <w:rPr>
          <w:rFonts w:ascii="David" w:eastAsia="David" w:hAnsi="David" w:cs="David"/>
          <w:sz w:val="24"/>
          <w:szCs w:val="24"/>
          <w:rtl/>
        </w:rPr>
        <w:t xml:space="preserve"> מתוך כריתת ברית עם מעצמות ההסכמה ובריטניה בפרט. חלקו האחרון של הקורס עוסק בהשלכותיה של מלחמת העולם הראשונה בעיצוב מפתו הפוליטית החדשה של המזרח התיכון.</w:t>
      </w:r>
    </w:p>
    <w:p w:rsidR="000570FC" w:rsidRPr="00043B0D" w:rsidRDefault="000570FC" w:rsidP="00C620BC">
      <w:pPr>
        <w:spacing w:line="360" w:lineRule="auto"/>
        <w:rPr>
          <w:rFonts w:ascii="David" w:eastAsia="David" w:hAnsi="David" w:cs="David"/>
          <w:b/>
          <w:bCs/>
          <w:color w:val="0000FF"/>
          <w:sz w:val="24"/>
          <w:szCs w:val="24"/>
        </w:rPr>
      </w:pPr>
      <w:r w:rsidRPr="00043B0D">
        <w:rPr>
          <w:rFonts w:ascii="David" w:eastAsia="Times New Roman" w:hAnsi="David" w:cs="David" w:hint="cs"/>
          <w:bCs/>
          <w:color w:val="548DD4"/>
          <w:sz w:val="24"/>
          <w:szCs w:val="24"/>
          <w:rtl/>
        </w:rPr>
        <w:t>דרישות קדם:</w:t>
      </w:r>
      <w:r w:rsidRPr="00043B0D">
        <w:rPr>
          <w:rFonts w:ascii="David" w:eastAsia="David" w:hAnsi="David" w:cs="David" w:hint="cs"/>
          <w:b/>
          <w:bCs/>
          <w:color w:val="0000FF"/>
          <w:sz w:val="24"/>
          <w:szCs w:val="24"/>
          <w:rtl/>
        </w:rPr>
        <w:t xml:space="preserve"> </w:t>
      </w:r>
      <w:r w:rsidRPr="00043B0D">
        <w:rPr>
          <w:rFonts w:ascii="David" w:eastAsia="David" w:hAnsi="David" w:cs="David" w:hint="cs"/>
          <w:sz w:val="24"/>
          <w:szCs w:val="24"/>
          <w:rtl/>
        </w:rPr>
        <w:t>אין.</w:t>
      </w:r>
    </w:p>
    <w:p w:rsidR="000570FC" w:rsidRPr="00043B0D" w:rsidRDefault="000570FC" w:rsidP="00C620BC">
      <w:pPr>
        <w:spacing w:line="360" w:lineRule="auto"/>
        <w:rPr>
          <w:rFonts w:ascii="David" w:eastAsia="David" w:hAnsi="David" w:cs="David"/>
          <w:b/>
          <w:bCs/>
          <w:color w:val="0000FF"/>
          <w:sz w:val="24"/>
          <w:szCs w:val="24"/>
        </w:rPr>
      </w:pPr>
      <w:r w:rsidRPr="00043B0D">
        <w:rPr>
          <w:rFonts w:ascii="David" w:eastAsia="Times New Roman" w:hAnsi="David" w:cs="David" w:hint="cs"/>
          <w:bCs/>
          <w:color w:val="548DD4"/>
          <w:sz w:val="24"/>
          <w:szCs w:val="24"/>
          <w:rtl/>
        </w:rPr>
        <w:t>מרכיבי הציון הסופי:</w:t>
      </w:r>
      <w:r w:rsidRPr="00043B0D">
        <w:rPr>
          <w:rFonts w:ascii="David" w:eastAsia="David" w:hAnsi="David" w:cs="David" w:hint="cs"/>
          <w:b/>
          <w:bCs/>
          <w:color w:val="0000FF"/>
          <w:sz w:val="24"/>
          <w:szCs w:val="24"/>
          <w:rtl/>
        </w:rPr>
        <w:t xml:space="preserve"> </w:t>
      </w:r>
      <w:r w:rsidRPr="00043B0D">
        <w:rPr>
          <w:rFonts w:ascii="David" w:eastAsia="David" w:hAnsi="David" w:cs="David" w:hint="cs"/>
          <w:sz w:val="24"/>
          <w:szCs w:val="24"/>
          <w:rtl/>
        </w:rPr>
        <w:t>בחינה 100%.</w:t>
      </w:r>
    </w:p>
    <w:p w:rsidR="000570FC" w:rsidRPr="00043B0D" w:rsidRDefault="000570FC" w:rsidP="00C620BC">
      <w:pPr>
        <w:spacing w:line="360" w:lineRule="auto"/>
        <w:rPr>
          <w:rFonts w:ascii="David" w:eastAsia="Times New Roman" w:hAnsi="David" w:cs="David"/>
          <w:bCs/>
          <w:color w:val="548DD4"/>
          <w:sz w:val="24"/>
          <w:szCs w:val="24"/>
          <w:rtl/>
        </w:rPr>
      </w:pPr>
      <w:r w:rsidRPr="00043B0D">
        <w:rPr>
          <w:rFonts w:ascii="David" w:eastAsia="Times New Roman" w:hAnsi="David" w:cs="David" w:hint="cs"/>
          <w:bCs/>
          <w:color w:val="548DD4"/>
          <w:sz w:val="24"/>
          <w:szCs w:val="24"/>
          <w:rtl/>
        </w:rPr>
        <w:t>ביבליוגרפיה:</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r w:rsidRPr="00043B0D">
        <w:rPr>
          <w:rFonts w:ascii="Times" w:hAnsi="Times" w:cs="Times New Roman"/>
          <w:sz w:val="24"/>
          <w:szCs w:val="24"/>
        </w:rPr>
        <w:t xml:space="preserve">Andrew, Christopher M. and </w:t>
      </w:r>
      <w:proofErr w:type="spellStart"/>
      <w:r w:rsidRPr="00043B0D">
        <w:rPr>
          <w:rFonts w:ascii="Times" w:hAnsi="Times" w:cs="Times New Roman"/>
          <w:sz w:val="24"/>
          <w:szCs w:val="24"/>
        </w:rPr>
        <w:t>Kanya-Forstner</w:t>
      </w:r>
      <w:proofErr w:type="spellEnd"/>
      <w:r w:rsidRPr="00043B0D">
        <w:rPr>
          <w:rFonts w:ascii="Times" w:hAnsi="Times" w:cs="Times New Roman"/>
          <w:sz w:val="24"/>
          <w:szCs w:val="24"/>
        </w:rPr>
        <w:t xml:space="preserve">, A. S., </w:t>
      </w:r>
      <w:r w:rsidRPr="00043B0D">
        <w:rPr>
          <w:rFonts w:ascii="Times" w:hAnsi="Times" w:cs="Times New Roman"/>
          <w:i/>
          <w:sz w:val="24"/>
          <w:szCs w:val="24"/>
        </w:rPr>
        <w:t>The Climax of French Imperial Expansion 1914-1924</w:t>
      </w:r>
      <w:r w:rsidRPr="00043B0D">
        <w:rPr>
          <w:rFonts w:ascii="Times" w:hAnsi="Times" w:cs="Times New Roman"/>
          <w:sz w:val="24"/>
          <w:szCs w:val="24"/>
        </w:rPr>
        <w:t xml:space="preserve"> (Stanford, 1981).</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r w:rsidRPr="00043B0D">
        <w:rPr>
          <w:rFonts w:ascii="Times" w:hAnsi="Times" w:cs="Times New Roman"/>
          <w:sz w:val="24"/>
          <w:szCs w:val="24"/>
        </w:rPr>
        <w:t xml:space="preserve">Antonius, George, </w:t>
      </w:r>
      <w:r w:rsidRPr="00043B0D">
        <w:rPr>
          <w:rFonts w:ascii="Times" w:hAnsi="Times" w:cs="Times New Roman"/>
          <w:i/>
          <w:sz w:val="24"/>
          <w:szCs w:val="24"/>
        </w:rPr>
        <w:t>The Arab Awakening: The Story of The Arab National Movement</w:t>
      </w:r>
      <w:r w:rsidRPr="00043B0D">
        <w:rPr>
          <w:rFonts w:ascii="Times" w:hAnsi="Times" w:cs="Times New Roman"/>
          <w:sz w:val="24"/>
          <w:szCs w:val="24"/>
        </w:rPr>
        <w:t xml:space="preserve"> (London, 1938).</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r w:rsidRPr="00043B0D">
        <w:rPr>
          <w:rFonts w:ascii="Times" w:hAnsi="Times" w:cs="Times New Roman"/>
          <w:sz w:val="24"/>
          <w:szCs w:val="24"/>
        </w:rPr>
        <w:t xml:space="preserve">Busch, Briton Cooper, </w:t>
      </w:r>
      <w:r w:rsidRPr="00043B0D">
        <w:rPr>
          <w:rFonts w:ascii="Times" w:hAnsi="Times" w:cs="Times New Roman"/>
          <w:i/>
          <w:sz w:val="24"/>
          <w:szCs w:val="24"/>
        </w:rPr>
        <w:t>Britain, India and the Arabs 1914-1921</w:t>
      </w:r>
      <w:r w:rsidRPr="00043B0D">
        <w:rPr>
          <w:rFonts w:ascii="Times" w:hAnsi="Times" w:cs="Times New Roman"/>
          <w:sz w:val="24"/>
          <w:szCs w:val="24"/>
        </w:rPr>
        <w:t xml:space="preserve"> (Berkeley, 1971).</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r w:rsidRPr="00043B0D">
        <w:rPr>
          <w:rFonts w:ascii="Times" w:hAnsi="Times" w:cs="Times New Roman"/>
          <w:sz w:val="24"/>
          <w:szCs w:val="24"/>
        </w:rPr>
        <w:t xml:space="preserve">Falls, Cyril, </w:t>
      </w:r>
      <w:r w:rsidRPr="00043B0D">
        <w:rPr>
          <w:rFonts w:ascii="Times" w:hAnsi="Times" w:cs="Times New Roman"/>
          <w:i/>
          <w:sz w:val="24"/>
          <w:szCs w:val="24"/>
        </w:rPr>
        <w:t>Military Operations, Egypt and Palestine from June 1917 to the End of the War</w:t>
      </w:r>
      <w:r w:rsidRPr="00043B0D">
        <w:rPr>
          <w:rFonts w:ascii="Times" w:hAnsi="Times" w:cs="Times New Roman"/>
          <w:sz w:val="24"/>
          <w:szCs w:val="24"/>
        </w:rPr>
        <w:t xml:space="preserve"> (London, 1930).</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r w:rsidRPr="00043B0D">
        <w:rPr>
          <w:rFonts w:ascii="Times" w:hAnsi="Times" w:cs="Times New Roman"/>
          <w:sz w:val="24"/>
          <w:szCs w:val="24"/>
        </w:rPr>
        <w:lastRenderedPageBreak/>
        <w:t xml:space="preserve">Friedman, Isaiah, “The McMahon-Hussein Correspondence and the Question of Palestine”, </w:t>
      </w:r>
      <w:r w:rsidRPr="00043B0D">
        <w:rPr>
          <w:rFonts w:ascii="Times" w:hAnsi="Times" w:cs="Times New Roman"/>
          <w:i/>
          <w:sz w:val="24"/>
          <w:szCs w:val="24"/>
        </w:rPr>
        <w:t>The Journal of Contemporary History</w:t>
      </w:r>
      <w:r w:rsidRPr="00043B0D">
        <w:rPr>
          <w:rFonts w:ascii="Times" w:hAnsi="Times" w:cs="Times New Roman"/>
          <w:sz w:val="24"/>
          <w:szCs w:val="24"/>
        </w:rPr>
        <w:t>, 5:2,4 (1970), pp.83-122, 193-201.</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r w:rsidRPr="00043B0D">
        <w:rPr>
          <w:rFonts w:ascii="Times" w:hAnsi="Times" w:cs="Times New Roman"/>
          <w:sz w:val="24"/>
          <w:szCs w:val="24"/>
        </w:rPr>
        <w:t xml:space="preserve">Friedman, Isaiah, </w:t>
      </w:r>
      <w:r w:rsidRPr="00043B0D">
        <w:rPr>
          <w:rFonts w:ascii="Times" w:hAnsi="Times" w:cs="Times New Roman"/>
          <w:i/>
          <w:sz w:val="24"/>
          <w:szCs w:val="24"/>
        </w:rPr>
        <w:t>Palestine: A Twice-Promised Land?</w:t>
      </w:r>
      <w:r w:rsidRPr="00043B0D">
        <w:rPr>
          <w:rFonts w:ascii="Times" w:hAnsi="Times" w:cs="Times New Roman"/>
          <w:sz w:val="24"/>
          <w:szCs w:val="24"/>
        </w:rPr>
        <w:t xml:space="preserve"> (New Brunswick, 2000).</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r w:rsidRPr="00043B0D">
        <w:rPr>
          <w:rFonts w:ascii="Times" w:hAnsi="Times" w:cs="Times New Roman"/>
          <w:sz w:val="24"/>
          <w:szCs w:val="24"/>
        </w:rPr>
        <w:t xml:space="preserve">Friedman, Isaiah, </w:t>
      </w:r>
      <w:r w:rsidRPr="00043B0D">
        <w:rPr>
          <w:rFonts w:ascii="Times" w:hAnsi="Times" w:cs="Times New Roman"/>
          <w:i/>
          <w:sz w:val="24"/>
          <w:szCs w:val="24"/>
        </w:rPr>
        <w:t xml:space="preserve">The Question of Palestine 1914-1918: British-Jewish-Arab Relations </w:t>
      </w:r>
      <w:r w:rsidRPr="00043B0D">
        <w:rPr>
          <w:rFonts w:ascii="Times" w:hAnsi="Times" w:cs="Times New Roman"/>
          <w:sz w:val="24"/>
          <w:szCs w:val="24"/>
        </w:rPr>
        <w:t>(London, 1973).</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r w:rsidRPr="00043B0D">
        <w:rPr>
          <w:rFonts w:ascii="Times" w:hAnsi="Times" w:cs="Times New Roman"/>
          <w:sz w:val="24"/>
          <w:szCs w:val="24"/>
        </w:rPr>
        <w:t xml:space="preserve">Howard, Harry N., </w:t>
      </w:r>
      <w:r w:rsidRPr="00043B0D">
        <w:rPr>
          <w:rFonts w:ascii="Times" w:hAnsi="Times" w:cs="Times New Roman"/>
          <w:i/>
          <w:sz w:val="24"/>
          <w:szCs w:val="24"/>
        </w:rPr>
        <w:t>The Partition of Turkey: A Diplomatic History 1913-1923</w:t>
      </w:r>
      <w:r w:rsidRPr="00043B0D">
        <w:rPr>
          <w:rFonts w:ascii="Times" w:hAnsi="Times" w:cs="Times New Roman"/>
          <w:sz w:val="24"/>
          <w:szCs w:val="24"/>
        </w:rPr>
        <w:t xml:space="preserve"> (New York, 1931).</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r w:rsidRPr="00043B0D">
        <w:rPr>
          <w:rFonts w:ascii="Times" w:hAnsi="Times" w:cs="Times New Roman"/>
          <w:sz w:val="24"/>
          <w:szCs w:val="24"/>
        </w:rPr>
        <w:t xml:space="preserve">Hughes, Matthew, </w:t>
      </w:r>
      <w:r w:rsidRPr="00043B0D">
        <w:rPr>
          <w:rFonts w:ascii="Times" w:hAnsi="Times" w:cs="Times New Roman"/>
          <w:i/>
          <w:sz w:val="24"/>
          <w:szCs w:val="24"/>
        </w:rPr>
        <w:t>Allenby and British Strategy in the Middle East</w:t>
      </w:r>
      <w:r w:rsidRPr="00043B0D">
        <w:rPr>
          <w:rFonts w:ascii="Times" w:hAnsi="Times" w:cs="Times New Roman"/>
          <w:sz w:val="24"/>
          <w:szCs w:val="24"/>
        </w:rPr>
        <w:t xml:space="preserve"> (London, 1999).</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proofErr w:type="spellStart"/>
      <w:r w:rsidRPr="00043B0D">
        <w:rPr>
          <w:rFonts w:ascii="Times" w:hAnsi="Times" w:cs="Times New Roman"/>
          <w:sz w:val="24"/>
          <w:szCs w:val="24"/>
        </w:rPr>
        <w:t>Kedourie</w:t>
      </w:r>
      <w:proofErr w:type="spellEnd"/>
      <w:r w:rsidRPr="00043B0D">
        <w:rPr>
          <w:rFonts w:ascii="Times" w:hAnsi="Times" w:cs="Times New Roman"/>
          <w:sz w:val="24"/>
          <w:szCs w:val="24"/>
        </w:rPr>
        <w:t xml:space="preserve">, Elie, </w:t>
      </w:r>
      <w:r w:rsidRPr="00043B0D">
        <w:rPr>
          <w:rFonts w:ascii="Times" w:hAnsi="Times" w:cs="Times New Roman"/>
          <w:i/>
          <w:sz w:val="24"/>
          <w:szCs w:val="24"/>
        </w:rPr>
        <w:t xml:space="preserve">England and the Middle East: The Destruction of the Ottoman Empire 1914-1921 </w:t>
      </w:r>
      <w:r w:rsidRPr="00043B0D">
        <w:rPr>
          <w:rFonts w:ascii="Times" w:hAnsi="Times" w:cs="Times New Roman"/>
          <w:sz w:val="24"/>
          <w:szCs w:val="24"/>
        </w:rPr>
        <w:t>(London, 1956).</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proofErr w:type="spellStart"/>
      <w:r w:rsidRPr="00043B0D">
        <w:rPr>
          <w:rFonts w:ascii="Times" w:hAnsi="Times" w:cs="Times New Roman"/>
          <w:sz w:val="24"/>
          <w:szCs w:val="24"/>
        </w:rPr>
        <w:t>Kedourie</w:t>
      </w:r>
      <w:proofErr w:type="spellEnd"/>
      <w:r w:rsidRPr="00043B0D">
        <w:rPr>
          <w:rFonts w:ascii="Times" w:hAnsi="Times" w:cs="Times New Roman"/>
          <w:sz w:val="24"/>
          <w:szCs w:val="24"/>
        </w:rPr>
        <w:t xml:space="preserve">, Elie, </w:t>
      </w:r>
      <w:r w:rsidRPr="00043B0D">
        <w:rPr>
          <w:rFonts w:ascii="Times" w:hAnsi="Times" w:cs="Times New Roman"/>
          <w:i/>
          <w:sz w:val="24"/>
          <w:szCs w:val="24"/>
        </w:rPr>
        <w:t>In the Anglo-Arab Labyrinth: The McMahon-</w:t>
      </w:r>
      <w:proofErr w:type="spellStart"/>
      <w:r w:rsidRPr="00043B0D">
        <w:rPr>
          <w:rFonts w:ascii="Times" w:hAnsi="Times" w:cs="Times New Roman"/>
          <w:i/>
          <w:sz w:val="24"/>
          <w:szCs w:val="24"/>
        </w:rPr>
        <w:t>Husayn</w:t>
      </w:r>
      <w:proofErr w:type="spellEnd"/>
      <w:r w:rsidRPr="00043B0D">
        <w:rPr>
          <w:rFonts w:ascii="Times" w:hAnsi="Times" w:cs="Times New Roman"/>
          <w:i/>
          <w:sz w:val="24"/>
          <w:szCs w:val="24"/>
        </w:rPr>
        <w:t xml:space="preserve"> Correspondence and its Interpretations 1914-1939</w:t>
      </w:r>
      <w:r w:rsidRPr="00043B0D">
        <w:rPr>
          <w:rFonts w:ascii="Times" w:hAnsi="Times" w:cs="Times New Roman"/>
          <w:sz w:val="24"/>
          <w:szCs w:val="24"/>
        </w:rPr>
        <w:t xml:space="preserve"> (Cambridge, 1976).</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r w:rsidRPr="00043B0D">
        <w:rPr>
          <w:rFonts w:ascii="Times" w:hAnsi="Times" w:cs="Times New Roman"/>
          <w:sz w:val="24"/>
          <w:szCs w:val="24"/>
        </w:rPr>
        <w:t xml:space="preserve">Lawrence, T. E., </w:t>
      </w:r>
      <w:r w:rsidRPr="00043B0D">
        <w:rPr>
          <w:rFonts w:ascii="Times" w:hAnsi="Times" w:cs="Times New Roman"/>
          <w:i/>
          <w:sz w:val="24"/>
          <w:szCs w:val="24"/>
        </w:rPr>
        <w:t>Seven Pillars of Wisdom</w:t>
      </w:r>
      <w:r w:rsidRPr="00043B0D">
        <w:rPr>
          <w:rFonts w:ascii="Times" w:hAnsi="Times" w:cs="Times New Roman"/>
          <w:sz w:val="24"/>
          <w:szCs w:val="24"/>
        </w:rPr>
        <w:t xml:space="preserve"> (New York, 1938).</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r w:rsidRPr="00043B0D">
        <w:rPr>
          <w:rFonts w:ascii="Times" w:hAnsi="Times" w:cs="Times New Roman"/>
          <w:sz w:val="24"/>
          <w:szCs w:val="24"/>
        </w:rPr>
        <w:t xml:space="preserve">Liddell Hart, B. H., </w:t>
      </w:r>
      <w:r w:rsidRPr="00043B0D">
        <w:rPr>
          <w:rFonts w:ascii="Times" w:hAnsi="Times" w:cs="Times New Roman"/>
          <w:i/>
          <w:sz w:val="24"/>
          <w:szCs w:val="24"/>
        </w:rPr>
        <w:t>T. E. Lawrence — In Arabia and After</w:t>
      </w:r>
      <w:r w:rsidRPr="00043B0D">
        <w:rPr>
          <w:rFonts w:ascii="Times" w:hAnsi="Times" w:cs="Times New Roman"/>
          <w:sz w:val="24"/>
          <w:szCs w:val="24"/>
        </w:rPr>
        <w:t xml:space="preserve"> (London, 1934).</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r w:rsidRPr="00043B0D">
        <w:rPr>
          <w:rFonts w:ascii="Times" w:hAnsi="Times" w:cs="Times New Roman"/>
          <w:sz w:val="24"/>
          <w:szCs w:val="24"/>
        </w:rPr>
        <w:t xml:space="preserve">MacMunn, George and Falls, Cyril, </w:t>
      </w:r>
      <w:r w:rsidRPr="00043B0D">
        <w:rPr>
          <w:rFonts w:ascii="Times" w:hAnsi="Times" w:cs="Times New Roman"/>
          <w:i/>
          <w:sz w:val="24"/>
          <w:szCs w:val="24"/>
        </w:rPr>
        <w:t>Military Operations, Egypt and Palestine from the Outbreak of War with Germany to June 1917</w:t>
      </w:r>
      <w:r w:rsidRPr="00043B0D">
        <w:rPr>
          <w:rFonts w:ascii="Times" w:hAnsi="Times" w:cs="Times New Roman"/>
          <w:sz w:val="24"/>
          <w:szCs w:val="24"/>
        </w:rPr>
        <w:t xml:space="preserve"> (London, 1928).</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proofErr w:type="spellStart"/>
      <w:r w:rsidRPr="00043B0D">
        <w:rPr>
          <w:rFonts w:ascii="Times" w:hAnsi="Times" w:cs="Times New Roman"/>
          <w:sz w:val="24"/>
          <w:szCs w:val="24"/>
        </w:rPr>
        <w:t>Nevakivi</w:t>
      </w:r>
      <w:proofErr w:type="spellEnd"/>
      <w:r w:rsidRPr="00043B0D">
        <w:rPr>
          <w:rFonts w:ascii="Times" w:hAnsi="Times" w:cs="Times New Roman"/>
          <w:sz w:val="24"/>
          <w:szCs w:val="24"/>
        </w:rPr>
        <w:t xml:space="preserve">, Jukka, </w:t>
      </w:r>
      <w:r w:rsidRPr="00043B0D">
        <w:rPr>
          <w:rFonts w:ascii="Times" w:hAnsi="Times" w:cs="Times New Roman"/>
          <w:i/>
          <w:sz w:val="24"/>
          <w:szCs w:val="24"/>
        </w:rPr>
        <w:t>Britain, France and the Arab Middle East 1914-1920</w:t>
      </w:r>
      <w:r w:rsidRPr="00043B0D">
        <w:rPr>
          <w:rFonts w:ascii="Times" w:hAnsi="Times" w:cs="Times New Roman"/>
          <w:sz w:val="24"/>
          <w:szCs w:val="24"/>
        </w:rPr>
        <w:t xml:space="preserve"> (London, 1969).</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r w:rsidRPr="00043B0D">
        <w:rPr>
          <w:rFonts w:ascii="Times" w:hAnsi="Times" w:cs="Times New Roman"/>
          <w:sz w:val="24"/>
          <w:szCs w:val="24"/>
        </w:rPr>
        <w:t xml:space="preserve">Sachar, Howard M., </w:t>
      </w:r>
      <w:r w:rsidRPr="00043B0D">
        <w:rPr>
          <w:rFonts w:ascii="Times" w:hAnsi="Times" w:cs="Times New Roman"/>
          <w:i/>
          <w:sz w:val="24"/>
          <w:szCs w:val="24"/>
        </w:rPr>
        <w:t>The Emergence of the Middle East 1914-1924</w:t>
      </w:r>
      <w:r w:rsidRPr="00043B0D">
        <w:rPr>
          <w:rFonts w:ascii="Times" w:hAnsi="Times" w:cs="Times New Roman"/>
          <w:sz w:val="24"/>
          <w:szCs w:val="24"/>
        </w:rPr>
        <w:t xml:space="preserve"> (New York, 1969).</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proofErr w:type="spellStart"/>
      <w:r w:rsidRPr="00043B0D">
        <w:rPr>
          <w:rFonts w:ascii="Times" w:hAnsi="Times" w:cs="Times New Roman"/>
          <w:sz w:val="24"/>
          <w:szCs w:val="24"/>
        </w:rPr>
        <w:t>Sheffy</w:t>
      </w:r>
      <w:proofErr w:type="spellEnd"/>
      <w:r w:rsidRPr="00043B0D">
        <w:rPr>
          <w:rFonts w:ascii="Times" w:hAnsi="Times" w:cs="Times New Roman"/>
          <w:sz w:val="24"/>
          <w:szCs w:val="24"/>
        </w:rPr>
        <w:t xml:space="preserve">, Yigal, </w:t>
      </w:r>
      <w:r w:rsidRPr="00043B0D">
        <w:rPr>
          <w:rFonts w:ascii="Times" w:hAnsi="Times" w:cs="Times New Roman"/>
          <w:i/>
          <w:sz w:val="24"/>
          <w:szCs w:val="24"/>
        </w:rPr>
        <w:t>British Military Intelligence in the Palestine Campaign 1914-1918</w:t>
      </w:r>
      <w:r w:rsidRPr="00043B0D">
        <w:rPr>
          <w:rFonts w:ascii="Times" w:hAnsi="Times" w:cs="Times New Roman"/>
          <w:sz w:val="24"/>
          <w:szCs w:val="24"/>
        </w:rPr>
        <w:t xml:space="preserve"> (London, 1998).</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r w:rsidRPr="00043B0D">
        <w:rPr>
          <w:rFonts w:ascii="Times" w:hAnsi="Times" w:cs="Times New Roman"/>
          <w:sz w:val="24"/>
          <w:szCs w:val="24"/>
        </w:rPr>
        <w:t xml:space="preserve">Tanenbaum, Jan Karl, </w:t>
      </w:r>
      <w:r w:rsidRPr="00043B0D">
        <w:rPr>
          <w:rFonts w:ascii="Times" w:hAnsi="Times" w:cs="Times New Roman"/>
          <w:i/>
          <w:sz w:val="24"/>
          <w:szCs w:val="24"/>
        </w:rPr>
        <w:t>France and the Arab Middle East 1914-1920</w:t>
      </w:r>
      <w:r w:rsidRPr="00043B0D">
        <w:rPr>
          <w:rFonts w:ascii="Times" w:hAnsi="Times" w:cs="Times New Roman"/>
          <w:sz w:val="24"/>
          <w:szCs w:val="24"/>
        </w:rPr>
        <w:t xml:space="preserve"> (Philadelphia, 1978).</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r w:rsidRPr="00043B0D">
        <w:rPr>
          <w:rFonts w:ascii="Times" w:hAnsi="Times" w:cs="Times New Roman"/>
          <w:sz w:val="24"/>
          <w:szCs w:val="24"/>
        </w:rPr>
        <w:t xml:space="preserve">Tauber, </w:t>
      </w:r>
      <w:proofErr w:type="gramStart"/>
      <w:r w:rsidRPr="00043B0D">
        <w:rPr>
          <w:rFonts w:ascii="Times" w:hAnsi="Times" w:cs="Times New Roman"/>
          <w:sz w:val="24"/>
          <w:szCs w:val="24"/>
        </w:rPr>
        <w:t xml:space="preserve">Eliezer,  </w:t>
      </w:r>
      <w:r w:rsidRPr="00043B0D">
        <w:rPr>
          <w:rFonts w:ascii="Times" w:hAnsi="Times" w:cs="Times New Roman"/>
          <w:i/>
          <w:sz w:val="24"/>
          <w:szCs w:val="24"/>
        </w:rPr>
        <w:t>The</w:t>
      </w:r>
      <w:proofErr w:type="gramEnd"/>
      <w:r w:rsidRPr="00043B0D">
        <w:rPr>
          <w:rFonts w:ascii="Times" w:hAnsi="Times" w:cs="Times New Roman"/>
          <w:i/>
          <w:sz w:val="24"/>
          <w:szCs w:val="24"/>
        </w:rPr>
        <w:t xml:space="preserve"> Arab Movements in World War I</w:t>
      </w:r>
      <w:r w:rsidRPr="00043B0D">
        <w:rPr>
          <w:rFonts w:ascii="Times" w:hAnsi="Times" w:cs="Times New Roman"/>
          <w:sz w:val="24"/>
          <w:szCs w:val="24"/>
        </w:rPr>
        <w:t xml:space="preserve"> (London, 1993).</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proofErr w:type="spellStart"/>
      <w:r w:rsidRPr="00043B0D">
        <w:rPr>
          <w:rFonts w:ascii="Times" w:hAnsi="Times" w:cs="Times New Roman"/>
          <w:sz w:val="24"/>
          <w:szCs w:val="24"/>
        </w:rPr>
        <w:lastRenderedPageBreak/>
        <w:t>Tibawi</w:t>
      </w:r>
      <w:proofErr w:type="spellEnd"/>
      <w:r w:rsidRPr="00043B0D">
        <w:rPr>
          <w:rFonts w:ascii="Times" w:hAnsi="Times" w:cs="Times New Roman"/>
          <w:sz w:val="24"/>
          <w:szCs w:val="24"/>
        </w:rPr>
        <w:t xml:space="preserve">, A. L., </w:t>
      </w:r>
      <w:r w:rsidRPr="00043B0D">
        <w:rPr>
          <w:rFonts w:ascii="Times" w:hAnsi="Times" w:cs="Times New Roman"/>
          <w:i/>
          <w:sz w:val="24"/>
          <w:szCs w:val="24"/>
        </w:rPr>
        <w:t>Anglo-Arab Relations and the Question of Palestine 1914-1921</w:t>
      </w:r>
      <w:r w:rsidRPr="00043B0D">
        <w:rPr>
          <w:rFonts w:ascii="Times" w:hAnsi="Times" w:cs="Times New Roman"/>
          <w:sz w:val="24"/>
          <w:szCs w:val="24"/>
        </w:rPr>
        <w:t xml:space="preserve"> (London, 1978).</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proofErr w:type="spellStart"/>
      <w:r w:rsidRPr="00043B0D">
        <w:rPr>
          <w:rFonts w:ascii="Times" w:hAnsi="Times" w:cs="Times New Roman"/>
          <w:sz w:val="24"/>
          <w:szCs w:val="24"/>
        </w:rPr>
        <w:t>Trumpener</w:t>
      </w:r>
      <w:proofErr w:type="spellEnd"/>
      <w:r w:rsidRPr="00043B0D">
        <w:rPr>
          <w:rFonts w:ascii="Times" w:hAnsi="Times" w:cs="Times New Roman"/>
          <w:sz w:val="24"/>
          <w:szCs w:val="24"/>
        </w:rPr>
        <w:t xml:space="preserve">, Ulrich, </w:t>
      </w:r>
      <w:r w:rsidRPr="00043B0D">
        <w:rPr>
          <w:rFonts w:ascii="Times" w:hAnsi="Times" w:cs="Times New Roman"/>
          <w:i/>
          <w:sz w:val="24"/>
          <w:szCs w:val="24"/>
        </w:rPr>
        <w:t>Germany and the Ottoman Empire 1914-1918</w:t>
      </w:r>
      <w:r w:rsidRPr="00043B0D">
        <w:rPr>
          <w:rFonts w:ascii="Times" w:hAnsi="Times" w:cs="Times New Roman"/>
          <w:sz w:val="24"/>
          <w:szCs w:val="24"/>
        </w:rPr>
        <w:t xml:space="preserve"> (Princeton, 1968).</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r w:rsidRPr="00043B0D">
        <w:rPr>
          <w:rFonts w:ascii="Times" w:hAnsi="Times" w:cs="Times New Roman"/>
          <w:sz w:val="24"/>
          <w:szCs w:val="24"/>
        </w:rPr>
        <w:t xml:space="preserve">Wavell, A. P., </w:t>
      </w:r>
      <w:r w:rsidRPr="00043B0D">
        <w:rPr>
          <w:rFonts w:ascii="Times" w:hAnsi="Times" w:cs="Times New Roman"/>
          <w:i/>
          <w:sz w:val="24"/>
          <w:szCs w:val="24"/>
        </w:rPr>
        <w:t>Palestine Campaigns</w:t>
      </w:r>
      <w:r w:rsidRPr="00043B0D">
        <w:rPr>
          <w:rFonts w:ascii="Times" w:hAnsi="Times" w:cs="Times New Roman"/>
          <w:sz w:val="24"/>
          <w:szCs w:val="24"/>
        </w:rPr>
        <w:t xml:space="preserve"> (London, 3rd ed. 1931).</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r w:rsidRPr="00043B0D">
        <w:rPr>
          <w:rFonts w:ascii="Times" w:hAnsi="Times" w:cs="Times New Roman"/>
          <w:sz w:val="24"/>
          <w:szCs w:val="24"/>
        </w:rPr>
        <w:t xml:space="preserve">Wilson, Arnold T., </w:t>
      </w:r>
      <w:r w:rsidRPr="00043B0D">
        <w:rPr>
          <w:rFonts w:ascii="Times" w:hAnsi="Times" w:cs="Times New Roman"/>
          <w:i/>
          <w:sz w:val="24"/>
          <w:szCs w:val="24"/>
        </w:rPr>
        <w:t>Loyalties: Mesopotamia 1914-1917</w:t>
      </w:r>
      <w:r w:rsidRPr="00043B0D">
        <w:rPr>
          <w:rFonts w:ascii="Times" w:hAnsi="Times" w:cs="Times New Roman"/>
          <w:sz w:val="24"/>
          <w:szCs w:val="24"/>
        </w:rPr>
        <w:t xml:space="preserve"> (London, 1930).</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proofErr w:type="spellStart"/>
      <w:r w:rsidRPr="00043B0D">
        <w:rPr>
          <w:rFonts w:ascii="Times" w:hAnsi="Times" w:cs="Times New Roman"/>
          <w:sz w:val="24"/>
          <w:szCs w:val="24"/>
        </w:rPr>
        <w:t>Winstone</w:t>
      </w:r>
      <w:proofErr w:type="spellEnd"/>
      <w:r w:rsidRPr="00043B0D">
        <w:rPr>
          <w:rFonts w:ascii="Times" w:hAnsi="Times" w:cs="Times New Roman"/>
          <w:sz w:val="24"/>
          <w:szCs w:val="24"/>
        </w:rPr>
        <w:t xml:space="preserve">, H. V. F., </w:t>
      </w:r>
      <w:r w:rsidRPr="00043B0D">
        <w:rPr>
          <w:rFonts w:ascii="Times" w:hAnsi="Times" w:cs="Times New Roman"/>
          <w:i/>
          <w:sz w:val="24"/>
          <w:szCs w:val="24"/>
        </w:rPr>
        <w:t>The Illicit Adventure</w:t>
      </w:r>
      <w:r w:rsidRPr="00043B0D">
        <w:rPr>
          <w:rFonts w:ascii="Times" w:hAnsi="Times" w:cs="Times New Roman"/>
          <w:sz w:val="24"/>
          <w:szCs w:val="24"/>
        </w:rPr>
        <w:t xml:space="preserve"> (London, 1982).</w:t>
      </w:r>
    </w:p>
    <w:p w:rsidR="00E61346" w:rsidRPr="00043B0D" w:rsidRDefault="00E61346" w:rsidP="00C620BC">
      <w:pPr>
        <w:autoSpaceDE w:val="0"/>
        <w:autoSpaceDN w:val="0"/>
        <w:adjustRightInd w:val="0"/>
        <w:spacing w:before="288" w:after="0" w:line="360" w:lineRule="auto"/>
        <w:ind w:left="84"/>
        <w:jc w:val="both"/>
        <w:rPr>
          <w:rFonts w:ascii="Times" w:hAnsi="Times" w:cs="Times New Roman"/>
          <w:sz w:val="24"/>
          <w:szCs w:val="24"/>
        </w:rPr>
      </w:pPr>
    </w:p>
    <w:p w:rsidR="00E61346" w:rsidRPr="00043B0D" w:rsidRDefault="00E61346" w:rsidP="00C620BC">
      <w:pPr>
        <w:bidi w:val="0"/>
        <w:spacing w:line="360" w:lineRule="auto"/>
        <w:rPr>
          <w:sz w:val="24"/>
          <w:szCs w:val="24"/>
          <w:rtl/>
        </w:rPr>
      </w:pPr>
      <w:r w:rsidRPr="00043B0D">
        <w:rPr>
          <w:sz w:val="24"/>
          <w:szCs w:val="24"/>
          <w:rtl/>
        </w:rPr>
        <w:br w:type="page"/>
      </w:r>
    </w:p>
    <w:p w:rsidR="00E61346" w:rsidRPr="00043B0D" w:rsidRDefault="00E61346" w:rsidP="00C620BC">
      <w:pPr>
        <w:autoSpaceDE w:val="0"/>
        <w:autoSpaceDN w:val="0"/>
        <w:adjustRightInd w:val="0"/>
        <w:spacing w:before="288" w:after="0" w:line="360" w:lineRule="auto"/>
        <w:ind w:left="84"/>
        <w:jc w:val="both"/>
        <w:rPr>
          <w:rFonts w:ascii="Times New Roman" w:hAnsi="Times New Roman" w:cs="רמת גן"/>
          <w:bCs/>
          <w:sz w:val="24"/>
          <w:szCs w:val="24"/>
          <w:rtl/>
        </w:rPr>
      </w:pPr>
      <w:r w:rsidRPr="00043B0D">
        <w:rPr>
          <w:rFonts w:ascii="Times New Roman" w:hAnsi="Times New Roman" w:cs="רמת גן" w:hint="cs"/>
          <w:bCs/>
          <w:sz w:val="24"/>
          <w:szCs w:val="24"/>
          <w:rtl/>
        </w:rPr>
        <w:lastRenderedPageBreak/>
        <w:t>19-42</w:t>
      </w:r>
      <w:r w:rsidR="00253142" w:rsidRPr="00043B0D">
        <w:rPr>
          <w:rFonts w:ascii="Times New Roman" w:hAnsi="Times New Roman" w:cs="רמת גן" w:hint="cs"/>
          <w:bCs/>
          <w:sz w:val="24"/>
          <w:szCs w:val="24"/>
          <w:rtl/>
        </w:rPr>
        <w:t>8</w:t>
      </w:r>
      <w:r w:rsidRPr="00043B0D">
        <w:rPr>
          <w:rFonts w:ascii="Times New Roman" w:hAnsi="Times New Roman" w:cs="רמת גן" w:hint="cs"/>
          <w:bCs/>
          <w:sz w:val="24"/>
          <w:szCs w:val="24"/>
          <w:rtl/>
        </w:rPr>
        <w:t>-01</w:t>
      </w:r>
    </w:p>
    <w:p w:rsidR="00E61346" w:rsidRPr="00043B0D" w:rsidRDefault="00E61346" w:rsidP="00C620BC">
      <w:pPr>
        <w:autoSpaceDE w:val="0"/>
        <w:autoSpaceDN w:val="0"/>
        <w:adjustRightInd w:val="0"/>
        <w:spacing w:before="288" w:after="0" w:line="360" w:lineRule="auto"/>
        <w:ind w:left="84"/>
        <w:jc w:val="both"/>
        <w:rPr>
          <w:rFonts w:ascii="Times New Roman" w:hAnsi="Times New Roman" w:cs="רמת גן"/>
          <w:b/>
          <w:sz w:val="24"/>
          <w:szCs w:val="24"/>
          <w:rtl/>
        </w:rPr>
      </w:pPr>
      <w:r w:rsidRPr="00043B0D">
        <w:rPr>
          <w:rFonts w:ascii="Times New Roman" w:hAnsi="Times New Roman" w:cs="רמת גן"/>
          <w:bCs/>
          <w:sz w:val="24"/>
          <w:szCs w:val="24"/>
          <w:rtl/>
        </w:rPr>
        <w:t xml:space="preserve">שם המרצה: </w:t>
      </w:r>
      <w:r w:rsidRPr="00043B0D">
        <w:rPr>
          <w:rFonts w:ascii="Times New Roman" w:hAnsi="Times New Roman" w:cs="רמת גן"/>
          <w:b/>
          <w:sz w:val="24"/>
          <w:szCs w:val="24"/>
          <w:rtl/>
        </w:rPr>
        <w:t>פרופ' אליעזר טאובר</w:t>
      </w:r>
    </w:p>
    <w:p w:rsidR="00E61346" w:rsidRPr="00043B0D" w:rsidRDefault="00253142" w:rsidP="00C620BC">
      <w:pPr>
        <w:autoSpaceDE w:val="0"/>
        <w:autoSpaceDN w:val="0"/>
        <w:adjustRightInd w:val="0"/>
        <w:spacing w:before="288" w:after="0" w:line="360" w:lineRule="auto"/>
        <w:ind w:left="84"/>
        <w:jc w:val="both"/>
        <w:rPr>
          <w:rFonts w:ascii="Times New Roman" w:hAnsi="Times New Roman" w:cs="רמת גן"/>
          <w:sz w:val="24"/>
          <w:szCs w:val="24"/>
          <w:rtl/>
        </w:rPr>
      </w:pPr>
      <w:r w:rsidRPr="00043B0D">
        <w:rPr>
          <w:rFonts w:ascii="Times New Roman" w:hAnsi="Times New Roman" w:cs="רמת גן" w:hint="cs"/>
          <w:bCs/>
          <w:sz w:val="24"/>
          <w:szCs w:val="24"/>
          <w:rtl/>
        </w:rPr>
        <w:t>שם</w:t>
      </w:r>
      <w:r w:rsidR="00E61346" w:rsidRPr="00043B0D">
        <w:rPr>
          <w:rFonts w:ascii="Times New Roman" w:hAnsi="Times New Roman" w:cs="רמת גן"/>
          <w:bCs/>
          <w:sz w:val="24"/>
          <w:szCs w:val="24"/>
          <w:rtl/>
        </w:rPr>
        <w:t xml:space="preserve"> הקורס:</w:t>
      </w:r>
      <w:r w:rsidR="00E61346" w:rsidRPr="00043B0D">
        <w:rPr>
          <w:rFonts w:ascii="Times New Roman" w:hAnsi="Times New Roman" w:cs="רמת גן" w:hint="cs"/>
          <w:sz w:val="24"/>
          <w:szCs w:val="24"/>
          <w:rtl/>
        </w:rPr>
        <w:t xml:space="preserve"> המזרח התיכון ומלחמת העולם הראשונה</w:t>
      </w:r>
    </w:p>
    <w:p w:rsidR="00253142" w:rsidRPr="00043B0D" w:rsidRDefault="00253142" w:rsidP="00C620BC">
      <w:pPr>
        <w:autoSpaceDE w:val="0"/>
        <w:autoSpaceDN w:val="0"/>
        <w:adjustRightInd w:val="0"/>
        <w:spacing w:before="288" w:after="0" w:line="360" w:lineRule="auto"/>
        <w:ind w:left="84"/>
        <w:jc w:val="both"/>
        <w:rPr>
          <w:rFonts w:ascii="Times New Roman" w:hAnsi="Times New Roman" w:cs="רמת גן"/>
          <w:sz w:val="24"/>
          <w:szCs w:val="24"/>
          <w:rtl/>
        </w:rPr>
      </w:pPr>
      <w:r w:rsidRPr="00043B0D">
        <w:rPr>
          <w:rFonts w:ascii="Times New Roman" w:hAnsi="Times New Roman" w:cs="רמת גן" w:hint="cs"/>
          <w:bCs/>
          <w:sz w:val="24"/>
          <w:szCs w:val="24"/>
          <w:rtl/>
        </w:rPr>
        <w:t>תיאור הקורס</w:t>
      </w:r>
    </w:p>
    <w:p w:rsidR="00E61346" w:rsidRPr="00043B0D" w:rsidRDefault="00E61346" w:rsidP="00C620BC">
      <w:pPr>
        <w:autoSpaceDE w:val="0"/>
        <w:autoSpaceDN w:val="0"/>
        <w:adjustRightInd w:val="0"/>
        <w:spacing w:before="288" w:after="0" w:line="360" w:lineRule="auto"/>
        <w:ind w:left="84"/>
        <w:jc w:val="both"/>
        <w:rPr>
          <w:rFonts w:ascii="Times New Roman" w:hAnsi="Times New Roman" w:cs="רמת גן"/>
          <w:sz w:val="24"/>
          <w:szCs w:val="24"/>
          <w:rtl/>
        </w:rPr>
      </w:pPr>
      <w:r w:rsidRPr="00043B0D">
        <w:rPr>
          <w:rFonts w:ascii="Times New Roman" w:hAnsi="Times New Roman" w:cs="רמת גן" w:hint="cs"/>
          <w:sz w:val="24"/>
          <w:szCs w:val="24"/>
          <w:rtl/>
        </w:rPr>
        <w:t xml:space="preserve">מטרת הקורס לדון בהעמקה בתולדות המזרח התיכון בזמן מלחמת העולם </w:t>
      </w:r>
      <w:proofErr w:type="spellStart"/>
      <w:r w:rsidRPr="00043B0D">
        <w:rPr>
          <w:rFonts w:ascii="Times New Roman" w:hAnsi="Times New Roman" w:cs="רמת גן" w:hint="cs"/>
          <w:sz w:val="24"/>
          <w:szCs w:val="24"/>
          <w:rtl/>
        </w:rPr>
        <w:t>הראשונהת</w:t>
      </w:r>
      <w:proofErr w:type="spellEnd"/>
      <w:r w:rsidRPr="00043B0D">
        <w:rPr>
          <w:rFonts w:ascii="Times New Roman" w:hAnsi="Times New Roman" w:cs="רמת גן" w:hint="cs"/>
          <w:sz w:val="24"/>
          <w:szCs w:val="24"/>
          <w:rtl/>
        </w:rPr>
        <w:t xml:space="preserve"> תוך שימת דגש על התפתחות התנועות הלאומיות באזור בתקופה זו. הקורס פותח בסקירה צבאית ופוליטית של תולדות מלחמת העולם הראשונה במזרח התיכון, ולאחר מכן עובר לדון </w:t>
      </w:r>
      <w:proofErr w:type="spellStart"/>
      <w:r w:rsidRPr="00043B0D">
        <w:rPr>
          <w:rFonts w:ascii="Times New Roman" w:hAnsi="Times New Roman" w:cs="רמת גן" w:hint="cs"/>
          <w:sz w:val="24"/>
          <w:szCs w:val="24"/>
          <w:rtl/>
        </w:rPr>
        <w:t>בנסיונותיהם</w:t>
      </w:r>
      <w:proofErr w:type="spellEnd"/>
      <w:r w:rsidRPr="00043B0D">
        <w:rPr>
          <w:rFonts w:ascii="Times New Roman" w:hAnsi="Times New Roman" w:cs="רמת גן" w:hint="cs"/>
          <w:sz w:val="24"/>
          <w:szCs w:val="24"/>
          <w:rtl/>
        </w:rPr>
        <w:t xml:space="preserve"> של ערביי האזור להשת</w:t>
      </w:r>
      <w:r w:rsidRPr="00043B0D">
        <w:rPr>
          <w:rFonts w:ascii="Times New Roman" w:hAnsi="Times New Roman" w:cs="רמת גן"/>
          <w:sz w:val="24"/>
          <w:szCs w:val="24"/>
          <w:rtl/>
        </w:rPr>
        <w:t xml:space="preserve">חרר מעולה של האימפריה </w:t>
      </w:r>
      <w:proofErr w:type="spellStart"/>
      <w:r w:rsidRPr="00043B0D">
        <w:rPr>
          <w:rFonts w:ascii="Times New Roman" w:hAnsi="Times New Roman" w:cs="רמת גן"/>
          <w:sz w:val="24"/>
          <w:szCs w:val="24"/>
          <w:rtl/>
        </w:rPr>
        <w:t>העת'מאנית</w:t>
      </w:r>
      <w:proofErr w:type="spellEnd"/>
      <w:r w:rsidRPr="00043B0D">
        <w:rPr>
          <w:rFonts w:ascii="Times New Roman" w:hAnsi="Times New Roman" w:cs="רמת גן"/>
          <w:sz w:val="24"/>
          <w:szCs w:val="24"/>
          <w:rtl/>
        </w:rPr>
        <w:t xml:space="preserve"> מתוך כריתת ברית עם מעצמות ההסכמה ובריטניה בפרט. חלקו האחרון של הקורס עוסק בהשלכותיה של מלחמת העולם הראשונה בעיצוב מפתו הפוליטית החדשה של המזרח התיכון.</w:t>
      </w:r>
    </w:p>
    <w:p w:rsidR="00E61346" w:rsidRPr="00043B0D" w:rsidRDefault="00E61346" w:rsidP="00C620BC">
      <w:pPr>
        <w:autoSpaceDE w:val="0"/>
        <w:autoSpaceDN w:val="0"/>
        <w:adjustRightInd w:val="0"/>
        <w:spacing w:before="288" w:after="0" w:line="360" w:lineRule="auto"/>
        <w:ind w:left="84"/>
        <w:jc w:val="both"/>
        <w:rPr>
          <w:rFonts w:ascii="Times New Roman" w:hAnsi="Times New Roman" w:cs="רמת גן"/>
          <w:sz w:val="24"/>
          <w:szCs w:val="24"/>
          <w:rtl/>
        </w:rPr>
      </w:pPr>
      <w:r w:rsidRPr="00043B0D">
        <w:rPr>
          <w:rFonts w:ascii="Times New Roman" w:hAnsi="Times New Roman" w:cs="רמת גן" w:hint="cs"/>
          <w:b/>
          <w:bCs/>
          <w:sz w:val="24"/>
          <w:szCs w:val="24"/>
          <w:rtl/>
        </w:rPr>
        <w:t>דרישות קדם:</w:t>
      </w:r>
      <w:r w:rsidRPr="00043B0D">
        <w:rPr>
          <w:rFonts w:ascii="Times New Roman" w:hAnsi="Times New Roman" w:cs="רמת גן" w:hint="cs"/>
          <w:sz w:val="24"/>
          <w:szCs w:val="24"/>
          <w:rtl/>
        </w:rPr>
        <w:t xml:space="preserve"> אין</w:t>
      </w:r>
    </w:p>
    <w:p w:rsidR="00E61346" w:rsidRPr="00043B0D" w:rsidRDefault="00E61346" w:rsidP="00C620BC">
      <w:pPr>
        <w:autoSpaceDE w:val="0"/>
        <w:autoSpaceDN w:val="0"/>
        <w:adjustRightInd w:val="0"/>
        <w:spacing w:before="288" w:after="0" w:line="360" w:lineRule="auto"/>
        <w:ind w:left="84"/>
        <w:jc w:val="both"/>
        <w:rPr>
          <w:rFonts w:ascii="Times New Roman" w:hAnsi="Times New Roman" w:cs="רמת גן"/>
          <w:sz w:val="24"/>
          <w:szCs w:val="24"/>
          <w:rtl/>
        </w:rPr>
      </w:pPr>
      <w:r w:rsidRPr="00043B0D">
        <w:rPr>
          <w:rFonts w:ascii="Times New Roman" w:hAnsi="Times New Roman" w:cs="רמת גן" w:hint="cs"/>
          <w:b/>
          <w:bCs/>
          <w:sz w:val="24"/>
          <w:szCs w:val="24"/>
          <w:rtl/>
        </w:rPr>
        <w:t>מרכיבי הציון הסופי</w:t>
      </w:r>
      <w:r w:rsidRPr="00043B0D">
        <w:rPr>
          <w:rFonts w:ascii="Times New Roman" w:hAnsi="Times New Roman" w:cs="רמת גן" w:hint="cs"/>
          <w:sz w:val="24"/>
          <w:szCs w:val="24"/>
          <w:rtl/>
        </w:rPr>
        <w:t xml:space="preserve">: בחינה </w:t>
      </w:r>
      <w:r w:rsidR="00253142" w:rsidRPr="00043B0D">
        <w:rPr>
          <w:rFonts w:ascii="Times New Roman" w:hAnsi="Times New Roman" w:cs="רמת גן" w:hint="cs"/>
          <w:sz w:val="24"/>
          <w:szCs w:val="24"/>
          <w:rtl/>
        </w:rPr>
        <w:t>50</w:t>
      </w:r>
      <w:r w:rsidRPr="00043B0D">
        <w:rPr>
          <w:rFonts w:ascii="Times New Roman" w:hAnsi="Times New Roman" w:cs="רמת גן" w:hint="cs"/>
          <w:sz w:val="24"/>
          <w:szCs w:val="24"/>
          <w:rtl/>
        </w:rPr>
        <w:t>%</w:t>
      </w:r>
      <w:r w:rsidR="00253142" w:rsidRPr="00043B0D">
        <w:rPr>
          <w:rFonts w:ascii="Times New Roman" w:hAnsi="Times New Roman" w:cs="רמת גן" w:hint="cs"/>
          <w:sz w:val="24"/>
          <w:szCs w:val="24"/>
          <w:rtl/>
        </w:rPr>
        <w:t>, עבודה פרו-סמינריונית 50%</w:t>
      </w:r>
    </w:p>
    <w:p w:rsidR="00E61346" w:rsidRPr="00043B0D" w:rsidRDefault="00E61346" w:rsidP="00C620BC">
      <w:pPr>
        <w:autoSpaceDE w:val="0"/>
        <w:autoSpaceDN w:val="0"/>
        <w:adjustRightInd w:val="0"/>
        <w:spacing w:before="288" w:after="0" w:line="360" w:lineRule="auto"/>
        <w:ind w:left="84"/>
        <w:jc w:val="both"/>
        <w:rPr>
          <w:rFonts w:ascii="Times New Roman" w:hAnsi="Times New Roman" w:cs="רמת גן"/>
          <w:b/>
          <w:bCs/>
          <w:sz w:val="24"/>
          <w:szCs w:val="24"/>
          <w:rtl/>
        </w:rPr>
      </w:pPr>
      <w:r w:rsidRPr="00043B0D">
        <w:rPr>
          <w:rFonts w:ascii="Times New Roman" w:hAnsi="Times New Roman" w:cs="רמת גן"/>
          <w:b/>
          <w:bCs/>
          <w:sz w:val="24"/>
          <w:szCs w:val="24"/>
          <w:rtl/>
        </w:rPr>
        <w:t>ביבליוגרפיה</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r w:rsidRPr="00043B0D">
        <w:rPr>
          <w:rFonts w:ascii="Times" w:hAnsi="Times" w:cs="Times New Roman"/>
          <w:sz w:val="24"/>
          <w:szCs w:val="24"/>
        </w:rPr>
        <w:t xml:space="preserve">Andrew, Christopher M. and </w:t>
      </w:r>
      <w:proofErr w:type="spellStart"/>
      <w:r w:rsidRPr="00043B0D">
        <w:rPr>
          <w:rFonts w:ascii="Times" w:hAnsi="Times" w:cs="Times New Roman"/>
          <w:sz w:val="24"/>
          <w:szCs w:val="24"/>
        </w:rPr>
        <w:t>Kanya-Forstner</w:t>
      </w:r>
      <w:proofErr w:type="spellEnd"/>
      <w:r w:rsidRPr="00043B0D">
        <w:rPr>
          <w:rFonts w:ascii="Times" w:hAnsi="Times" w:cs="Times New Roman"/>
          <w:sz w:val="24"/>
          <w:szCs w:val="24"/>
        </w:rPr>
        <w:t xml:space="preserve">, A. S., </w:t>
      </w:r>
      <w:r w:rsidRPr="00043B0D">
        <w:rPr>
          <w:rFonts w:ascii="Times" w:hAnsi="Times" w:cs="Times New Roman"/>
          <w:i/>
          <w:sz w:val="24"/>
          <w:szCs w:val="24"/>
        </w:rPr>
        <w:t>The Climax of French Imperial Expansion 1914-1924</w:t>
      </w:r>
      <w:r w:rsidRPr="00043B0D">
        <w:rPr>
          <w:rFonts w:ascii="Times" w:hAnsi="Times" w:cs="Times New Roman"/>
          <w:sz w:val="24"/>
          <w:szCs w:val="24"/>
        </w:rPr>
        <w:t xml:space="preserve"> (Stanford, 1981).</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r w:rsidRPr="00043B0D">
        <w:rPr>
          <w:rFonts w:ascii="Times" w:hAnsi="Times" w:cs="Times New Roman"/>
          <w:sz w:val="24"/>
          <w:szCs w:val="24"/>
        </w:rPr>
        <w:t xml:space="preserve">Antonius, George, </w:t>
      </w:r>
      <w:r w:rsidRPr="00043B0D">
        <w:rPr>
          <w:rFonts w:ascii="Times" w:hAnsi="Times" w:cs="Times New Roman"/>
          <w:i/>
          <w:sz w:val="24"/>
          <w:szCs w:val="24"/>
        </w:rPr>
        <w:t>The Arab Awakening: The Story of The Arab National Movement</w:t>
      </w:r>
      <w:r w:rsidRPr="00043B0D">
        <w:rPr>
          <w:rFonts w:ascii="Times" w:hAnsi="Times" w:cs="Times New Roman"/>
          <w:sz w:val="24"/>
          <w:szCs w:val="24"/>
        </w:rPr>
        <w:t xml:space="preserve"> (London, 1938).</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r w:rsidRPr="00043B0D">
        <w:rPr>
          <w:rFonts w:ascii="Times" w:hAnsi="Times" w:cs="Times New Roman"/>
          <w:sz w:val="24"/>
          <w:szCs w:val="24"/>
        </w:rPr>
        <w:t xml:space="preserve">Busch, Briton Cooper, </w:t>
      </w:r>
      <w:r w:rsidRPr="00043B0D">
        <w:rPr>
          <w:rFonts w:ascii="Times" w:hAnsi="Times" w:cs="Times New Roman"/>
          <w:i/>
          <w:sz w:val="24"/>
          <w:szCs w:val="24"/>
        </w:rPr>
        <w:t>Britain, India and the Arabs 1914-1921</w:t>
      </w:r>
      <w:r w:rsidRPr="00043B0D">
        <w:rPr>
          <w:rFonts w:ascii="Times" w:hAnsi="Times" w:cs="Times New Roman"/>
          <w:sz w:val="24"/>
          <w:szCs w:val="24"/>
        </w:rPr>
        <w:t xml:space="preserve"> (Berkeley, 1971).</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r w:rsidRPr="00043B0D">
        <w:rPr>
          <w:rFonts w:ascii="Times" w:hAnsi="Times" w:cs="Times New Roman"/>
          <w:sz w:val="24"/>
          <w:szCs w:val="24"/>
        </w:rPr>
        <w:t xml:space="preserve">Falls, Cyril, </w:t>
      </w:r>
      <w:r w:rsidRPr="00043B0D">
        <w:rPr>
          <w:rFonts w:ascii="Times" w:hAnsi="Times" w:cs="Times New Roman"/>
          <w:i/>
          <w:sz w:val="24"/>
          <w:szCs w:val="24"/>
        </w:rPr>
        <w:t>Military Operations, Egypt and Palestine from June 1917 to the End of the War</w:t>
      </w:r>
      <w:r w:rsidRPr="00043B0D">
        <w:rPr>
          <w:rFonts w:ascii="Times" w:hAnsi="Times" w:cs="Times New Roman"/>
          <w:sz w:val="24"/>
          <w:szCs w:val="24"/>
        </w:rPr>
        <w:t xml:space="preserve"> (London, 1930).</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r w:rsidRPr="00043B0D">
        <w:rPr>
          <w:rFonts w:ascii="Times" w:hAnsi="Times" w:cs="Times New Roman"/>
          <w:sz w:val="24"/>
          <w:szCs w:val="24"/>
        </w:rPr>
        <w:t xml:space="preserve">Friedman, Isaiah, “The McMahon-Hussein Correspondence and the Question of Palestine”, </w:t>
      </w:r>
      <w:r w:rsidRPr="00043B0D">
        <w:rPr>
          <w:rFonts w:ascii="Times" w:hAnsi="Times" w:cs="Times New Roman"/>
          <w:i/>
          <w:sz w:val="24"/>
          <w:szCs w:val="24"/>
        </w:rPr>
        <w:t>The Journal of Contemporary History</w:t>
      </w:r>
      <w:r w:rsidRPr="00043B0D">
        <w:rPr>
          <w:rFonts w:ascii="Times" w:hAnsi="Times" w:cs="Times New Roman"/>
          <w:sz w:val="24"/>
          <w:szCs w:val="24"/>
        </w:rPr>
        <w:t>, 5:2,4 (1970), pp.83-122, 193-201.</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r w:rsidRPr="00043B0D">
        <w:rPr>
          <w:rFonts w:ascii="Times" w:hAnsi="Times" w:cs="Times New Roman"/>
          <w:sz w:val="24"/>
          <w:szCs w:val="24"/>
        </w:rPr>
        <w:t xml:space="preserve">Friedman, Isaiah, </w:t>
      </w:r>
      <w:r w:rsidRPr="00043B0D">
        <w:rPr>
          <w:rFonts w:ascii="Times" w:hAnsi="Times" w:cs="Times New Roman"/>
          <w:i/>
          <w:sz w:val="24"/>
          <w:szCs w:val="24"/>
        </w:rPr>
        <w:t>Palestine: A Twice-Promised Land?</w:t>
      </w:r>
      <w:r w:rsidRPr="00043B0D">
        <w:rPr>
          <w:rFonts w:ascii="Times" w:hAnsi="Times" w:cs="Times New Roman"/>
          <w:sz w:val="24"/>
          <w:szCs w:val="24"/>
        </w:rPr>
        <w:t xml:space="preserve"> (New Brunswick, 2000).</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r w:rsidRPr="00043B0D">
        <w:rPr>
          <w:rFonts w:ascii="Times" w:hAnsi="Times" w:cs="Times New Roman"/>
          <w:sz w:val="24"/>
          <w:szCs w:val="24"/>
        </w:rPr>
        <w:lastRenderedPageBreak/>
        <w:t xml:space="preserve">Friedman, Isaiah, </w:t>
      </w:r>
      <w:r w:rsidRPr="00043B0D">
        <w:rPr>
          <w:rFonts w:ascii="Times" w:hAnsi="Times" w:cs="Times New Roman"/>
          <w:i/>
          <w:sz w:val="24"/>
          <w:szCs w:val="24"/>
        </w:rPr>
        <w:t xml:space="preserve">The Question of Palestine 1914-1918: British-Jewish-Arab Relations </w:t>
      </w:r>
      <w:r w:rsidRPr="00043B0D">
        <w:rPr>
          <w:rFonts w:ascii="Times" w:hAnsi="Times" w:cs="Times New Roman"/>
          <w:sz w:val="24"/>
          <w:szCs w:val="24"/>
        </w:rPr>
        <w:t>(London, 1973).</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r w:rsidRPr="00043B0D">
        <w:rPr>
          <w:rFonts w:ascii="Times" w:hAnsi="Times" w:cs="Times New Roman"/>
          <w:sz w:val="24"/>
          <w:szCs w:val="24"/>
        </w:rPr>
        <w:t xml:space="preserve">Howard, Harry N., </w:t>
      </w:r>
      <w:r w:rsidRPr="00043B0D">
        <w:rPr>
          <w:rFonts w:ascii="Times" w:hAnsi="Times" w:cs="Times New Roman"/>
          <w:i/>
          <w:sz w:val="24"/>
          <w:szCs w:val="24"/>
        </w:rPr>
        <w:t>The Partition of Turkey: A Diplomatic History 1913-1923</w:t>
      </w:r>
      <w:r w:rsidRPr="00043B0D">
        <w:rPr>
          <w:rFonts w:ascii="Times" w:hAnsi="Times" w:cs="Times New Roman"/>
          <w:sz w:val="24"/>
          <w:szCs w:val="24"/>
        </w:rPr>
        <w:t xml:space="preserve"> (New York, 1931).</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r w:rsidRPr="00043B0D">
        <w:rPr>
          <w:rFonts w:ascii="Times" w:hAnsi="Times" w:cs="Times New Roman"/>
          <w:sz w:val="24"/>
          <w:szCs w:val="24"/>
        </w:rPr>
        <w:t xml:space="preserve">Hughes, Matthew, </w:t>
      </w:r>
      <w:r w:rsidRPr="00043B0D">
        <w:rPr>
          <w:rFonts w:ascii="Times" w:hAnsi="Times" w:cs="Times New Roman"/>
          <w:i/>
          <w:sz w:val="24"/>
          <w:szCs w:val="24"/>
        </w:rPr>
        <w:t>Allenby and British Strategy in the Middle East</w:t>
      </w:r>
      <w:r w:rsidRPr="00043B0D">
        <w:rPr>
          <w:rFonts w:ascii="Times" w:hAnsi="Times" w:cs="Times New Roman"/>
          <w:sz w:val="24"/>
          <w:szCs w:val="24"/>
        </w:rPr>
        <w:t xml:space="preserve"> (London, 1999).</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proofErr w:type="spellStart"/>
      <w:r w:rsidRPr="00043B0D">
        <w:rPr>
          <w:rFonts w:ascii="Times" w:hAnsi="Times" w:cs="Times New Roman"/>
          <w:sz w:val="24"/>
          <w:szCs w:val="24"/>
        </w:rPr>
        <w:t>Kedourie</w:t>
      </w:r>
      <w:proofErr w:type="spellEnd"/>
      <w:r w:rsidRPr="00043B0D">
        <w:rPr>
          <w:rFonts w:ascii="Times" w:hAnsi="Times" w:cs="Times New Roman"/>
          <w:sz w:val="24"/>
          <w:szCs w:val="24"/>
        </w:rPr>
        <w:t xml:space="preserve">, Elie, </w:t>
      </w:r>
      <w:r w:rsidRPr="00043B0D">
        <w:rPr>
          <w:rFonts w:ascii="Times" w:hAnsi="Times" w:cs="Times New Roman"/>
          <w:i/>
          <w:sz w:val="24"/>
          <w:szCs w:val="24"/>
        </w:rPr>
        <w:t xml:space="preserve">England and the Middle East: The Destruction of the Ottoman Empire 1914-1921 </w:t>
      </w:r>
      <w:r w:rsidRPr="00043B0D">
        <w:rPr>
          <w:rFonts w:ascii="Times" w:hAnsi="Times" w:cs="Times New Roman"/>
          <w:sz w:val="24"/>
          <w:szCs w:val="24"/>
        </w:rPr>
        <w:t>(London, 1956).</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proofErr w:type="spellStart"/>
      <w:r w:rsidRPr="00043B0D">
        <w:rPr>
          <w:rFonts w:ascii="Times" w:hAnsi="Times" w:cs="Times New Roman"/>
          <w:sz w:val="24"/>
          <w:szCs w:val="24"/>
        </w:rPr>
        <w:t>Kedourie</w:t>
      </w:r>
      <w:proofErr w:type="spellEnd"/>
      <w:r w:rsidRPr="00043B0D">
        <w:rPr>
          <w:rFonts w:ascii="Times" w:hAnsi="Times" w:cs="Times New Roman"/>
          <w:sz w:val="24"/>
          <w:szCs w:val="24"/>
        </w:rPr>
        <w:t xml:space="preserve">, Elie, </w:t>
      </w:r>
      <w:r w:rsidRPr="00043B0D">
        <w:rPr>
          <w:rFonts w:ascii="Times" w:hAnsi="Times" w:cs="Times New Roman"/>
          <w:i/>
          <w:sz w:val="24"/>
          <w:szCs w:val="24"/>
        </w:rPr>
        <w:t>In the Anglo-Arab Labyrinth: The McMahon-</w:t>
      </w:r>
      <w:proofErr w:type="spellStart"/>
      <w:r w:rsidRPr="00043B0D">
        <w:rPr>
          <w:rFonts w:ascii="Times" w:hAnsi="Times" w:cs="Times New Roman"/>
          <w:i/>
          <w:sz w:val="24"/>
          <w:szCs w:val="24"/>
        </w:rPr>
        <w:t>Husayn</w:t>
      </w:r>
      <w:proofErr w:type="spellEnd"/>
      <w:r w:rsidRPr="00043B0D">
        <w:rPr>
          <w:rFonts w:ascii="Times" w:hAnsi="Times" w:cs="Times New Roman"/>
          <w:i/>
          <w:sz w:val="24"/>
          <w:szCs w:val="24"/>
        </w:rPr>
        <w:t xml:space="preserve"> Correspondence and its Interpretations 1914-1939</w:t>
      </w:r>
      <w:r w:rsidRPr="00043B0D">
        <w:rPr>
          <w:rFonts w:ascii="Times" w:hAnsi="Times" w:cs="Times New Roman"/>
          <w:sz w:val="24"/>
          <w:szCs w:val="24"/>
        </w:rPr>
        <w:t xml:space="preserve"> (Cambridge, 1976).</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r w:rsidRPr="00043B0D">
        <w:rPr>
          <w:rFonts w:ascii="Times" w:hAnsi="Times" w:cs="Times New Roman"/>
          <w:sz w:val="24"/>
          <w:szCs w:val="24"/>
        </w:rPr>
        <w:t xml:space="preserve">Lawrence, T. E., </w:t>
      </w:r>
      <w:r w:rsidRPr="00043B0D">
        <w:rPr>
          <w:rFonts w:ascii="Times" w:hAnsi="Times" w:cs="Times New Roman"/>
          <w:i/>
          <w:sz w:val="24"/>
          <w:szCs w:val="24"/>
        </w:rPr>
        <w:t>Seven Pillars of Wisdom</w:t>
      </w:r>
      <w:r w:rsidRPr="00043B0D">
        <w:rPr>
          <w:rFonts w:ascii="Times" w:hAnsi="Times" w:cs="Times New Roman"/>
          <w:sz w:val="24"/>
          <w:szCs w:val="24"/>
        </w:rPr>
        <w:t xml:space="preserve"> (New York, 1938).</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r w:rsidRPr="00043B0D">
        <w:rPr>
          <w:rFonts w:ascii="Times" w:hAnsi="Times" w:cs="Times New Roman"/>
          <w:sz w:val="24"/>
          <w:szCs w:val="24"/>
        </w:rPr>
        <w:t xml:space="preserve">Liddell Hart, B. H., </w:t>
      </w:r>
      <w:r w:rsidRPr="00043B0D">
        <w:rPr>
          <w:rFonts w:ascii="Times" w:hAnsi="Times" w:cs="Times New Roman"/>
          <w:i/>
          <w:sz w:val="24"/>
          <w:szCs w:val="24"/>
        </w:rPr>
        <w:t>T. E. Lawrence — In Arabia and After</w:t>
      </w:r>
      <w:r w:rsidRPr="00043B0D">
        <w:rPr>
          <w:rFonts w:ascii="Times" w:hAnsi="Times" w:cs="Times New Roman"/>
          <w:sz w:val="24"/>
          <w:szCs w:val="24"/>
        </w:rPr>
        <w:t xml:space="preserve"> (London, 1934).</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r w:rsidRPr="00043B0D">
        <w:rPr>
          <w:rFonts w:ascii="Times" w:hAnsi="Times" w:cs="Times New Roman"/>
          <w:sz w:val="24"/>
          <w:szCs w:val="24"/>
        </w:rPr>
        <w:t xml:space="preserve">MacMunn, George and Falls, Cyril, </w:t>
      </w:r>
      <w:r w:rsidRPr="00043B0D">
        <w:rPr>
          <w:rFonts w:ascii="Times" w:hAnsi="Times" w:cs="Times New Roman"/>
          <w:i/>
          <w:sz w:val="24"/>
          <w:szCs w:val="24"/>
        </w:rPr>
        <w:t>Military Operations, Egypt and Palestine from the Outbreak of War with Germany to June 1917</w:t>
      </w:r>
      <w:r w:rsidRPr="00043B0D">
        <w:rPr>
          <w:rFonts w:ascii="Times" w:hAnsi="Times" w:cs="Times New Roman"/>
          <w:sz w:val="24"/>
          <w:szCs w:val="24"/>
        </w:rPr>
        <w:t xml:space="preserve"> (London, 1928).</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proofErr w:type="spellStart"/>
      <w:r w:rsidRPr="00043B0D">
        <w:rPr>
          <w:rFonts w:ascii="Times" w:hAnsi="Times" w:cs="Times New Roman"/>
          <w:sz w:val="24"/>
          <w:szCs w:val="24"/>
        </w:rPr>
        <w:t>Nevakivi</w:t>
      </w:r>
      <w:proofErr w:type="spellEnd"/>
      <w:r w:rsidRPr="00043B0D">
        <w:rPr>
          <w:rFonts w:ascii="Times" w:hAnsi="Times" w:cs="Times New Roman"/>
          <w:sz w:val="24"/>
          <w:szCs w:val="24"/>
        </w:rPr>
        <w:t xml:space="preserve">, Jukka, </w:t>
      </w:r>
      <w:r w:rsidRPr="00043B0D">
        <w:rPr>
          <w:rFonts w:ascii="Times" w:hAnsi="Times" w:cs="Times New Roman"/>
          <w:i/>
          <w:sz w:val="24"/>
          <w:szCs w:val="24"/>
        </w:rPr>
        <w:t>Britain, France and the Arab Middle East 1914-1920</w:t>
      </w:r>
      <w:r w:rsidRPr="00043B0D">
        <w:rPr>
          <w:rFonts w:ascii="Times" w:hAnsi="Times" w:cs="Times New Roman"/>
          <w:sz w:val="24"/>
          <w:szCs w:val="24"/>
        </w:rPr>
        <w:t xml:space="preserve"> (London, 1969).</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r w:rsidRPr="00043B0D">
        <w:rPr>
          <w:rFonts w:ascii="Times" w:hAnsi="Times" w:cs="Times New Roman"/>
          <w:sz w:val="24"/>
          <w:szCs w:val="24"/>
        </w:rPr>
        <w:t xml:space="preserve">Sachar, Howard M., </w:t>
      </w:r>
      <w:r w:rsidRPr="00043B0D">
        <w:rPr>
          <w:rFonts w:ascii="Times" w:hAnsi="Times" w:cs="Times New Roman"/>
          <w:i/>
          <w:sz w:val="24"/>
          <w:szCs w:val="24"/>
        </w:rPr>
        <w:t>The Emergence of the Middle East 1914-1924</w:t>
      </w:r>
      <w:r w:rsidRPr="00043B0D">
        <w:rPr>
          <w:rFonts w:ascii="Times" w:hAnsi="Times" w:cs="Times New Roman"/>
          <w:sz w:val="24"/>
          <w:szCs w:val="24"/>
        </w:rPr>
        <w:t xml:space="preserve"> (New York, 1969).</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proofErr w:type="spellStart"/>
      <w:r w:rsidRPr="00043B0D">
        <w:rPr>
          <w:rFonts w:ascii="Times" w:hAnsi="Times" w:cs="Times New Roman"/>
          <w:sz w:val="24"/>
          <w:szCs w:val="24"/>
        </w:rPr>
        <w:t>Sheffy</w:t>
      </w:r>
      <w:proofErr w:type="spellEnd"/>
      <w:r w:rsidRPr="00043B0D">
        <w:rPr>
          <w:rFonts w:ascii="Times" w:hAnsi="Times" w:cs="Times New Roman"/>
          <w:sz w:val="24"/>
          <w:szCs w:val="24"/>
        </w:rPr>
        <w:t xml:space="preserve">, Yigal, </w:t>
      </w:r>
      <w:r w:rsidRPr="00043B0D">
        <w:rPr>
          <w:rFonts w:ascii="Times" w:hAnsi="Times" w:cs="Times New Roman"/>
          <w:i/>
          <w:sz w:val="24"/>
          <w:szCs w:val="24"/>
        </w:rPr>
        <w:t>British Military Intelligence in the Palestine Campaign 1914-1918</w:t>
      </w:r>
      <w:r w:rsidRPr="00043B0D">
        <w:rPr>
          <w:rFonts w:ascii="Times" w:hAnsi="Times" w:cs="Times New Roman"/>
          <w:sz w:val="24"/>
          <w:szCs w:val="24"/>
        </w:rPr>
        <w:t xml:space="preserve"> (London, 1998).</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r w:rsidRPr="00043B0D">
        <w:rPr>
          <w:rFonts w:ascii="Times" w:hAnsi="Times" w:cs="Times New Roman"/>
          <w:sz w:val="24"/>
          <w:szCs w:val="24"/>
        </w:rPr>
        <w:t xml:space="preserve">Tanenbaum, Jan Karl, </w:t>
      </w:r>
      <w:r w:rsidRPr="00043B0D">
        <w:rPr>
          <w:rFonts w:ascii="Times" w:hAnsi="Times" w:cs="Times New Roman"/>
          <w:i/>
          <w:sz w:val="24"/>
          <w:szCs w:val="24"/>
        </w:rPr>
        <w:t>France and the Arab Middle East 1914-1920</w:t>
      </w:r>
      <w:r w:rsidRPr="00043B0D">
        <w:rPr>
          <w:rFonts w:ascii="Times" w:hAnsi="Times" w:cs="Times New Roman"/>
          <w:sz w:val="24"/>
          <w:szCs w:val="24"/>
        </w:rPr>
        <w:t xml:space="preserve"> (Philadelphia, 1978).</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r w:rsidRPr="00043B0D">
        <w:rPr>
          <w:rFonts w:ascii="Times" w:hAnsi="Times" w:cs="Times New Roman"/>
          <w:sz w:val="24"/>
          <w:szCs w:val="24"/>
        </w:rPr>
        <w:t xml:space="preserve">Tauber, </w:t>
      </w:r>
      <w:proofErr w:type="gramStart"/>
      <w:r w:rsidRPr="00043B0D">
        <w:rPr>
          <w:rFonts w:ascii="Times" w:hAnsi="Times" w:cs="Times New Roman"/>
          <w:sz w:val="24"/>
          <w:szCs w:val="24"/>
        </w:rPr>
        <w:t xml:space="preserve">Eliezer,  </w:t>
      </w:r>
      <w:r w:rsidRPr="00043B0D">
        <w:rPr>
          <w:rFonts w:ascii="Times" w:hAnsi="Times" w:cs="Times New Roman"/>
          <w:i/>
          <w:sz w:val="24"/>
          <w:szCs w:val="24"/>
        </w:rPr>
        <w:t>The</w:t>
      </w:r>
      <w:proofErr w:type="gramEnd"/>
      <w:r w:rsidRPr="00043B0D">
        <w:rPr>
          <w:rFonts w:ascii="Times" w:hAnsi="Times" w:cs="Times New Roman"/>
          <w:i/>
          <w:sz w:val="24"/>
          <w:szCs w:val="24"/>
        </w:rPr>
        <w:t xml:space="preserve"> Arab Movements in World War I</w:t>
      </w:r>
      <w:r w:rsidRPr="00043B0D">
        <w:rPr>
          <w:rFonts w:ascii="Times" w:hAnsi="Times" w:cs="Times New Roman"/>
          <w:sz w:val="24"/>
          <w:szCs w:val="24"/>
        </w:rPr>
        <w:t xml:space="preserve"> (London, 1993).</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proofErr w:type="spellStart"/>
      <w:r w:rsidRPr="00043B0D">
        <w:rPr>
          <w:rFonts w:ascii="Times" w:hAnsi="Times" w:cs="Times New Roman"/>
          <w:sz w:val="24"/>
          <w:szCs w:val="24"/>
        </w:rPr>
        <w:t>Tibawi</w:t>
      </w:r>
      <w:proofErr w:type="spellEnd"/>
      <w:r w:rsidRPr="00043B0D">
        <w:rPr>
          <w:rFonts w:ascii="Times" w:hAnsi="Times" w:cs="Times New Roman"/>
          <w:sz w:val="24"/>
          <w:szCs w:val="24"/>
        </w:rPr>
        <w:t xml:space="preserve">, A. L., </w:t>
      </w:r>
      <w:r w:rsidRPr="00043B0D">
        <w:rPr>
          <w:rFonts w:ascii="Times" w:hAnsi="Times" w:cs="Times New Roman"/>
          <w:i/>
          <w:sz w:val="24"/>
          <w:szCs w:val="24"/>
        </w:rPr>
        <w:t>Anglo-Arab Relations and the Question of Palestine 1914-1921</w:t>
      </w:r>
      <w:r w:rsidRPr="00043B0D">
        <w:rPr>
          <w:rFonts w:ascii="Times" w:hAnsi="Times" w:cs="Times New Roman"/>
          <w:sz w:val="24"/>
          <w:szCs w:val="24"/>
        </w:rPr>
        <w:t xml:space="preserve"> (London, 1978).</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proofErr w:type="spellStart"/>
      <w:r w:rsidRPr="00043B0D">
        <w:rPr>
          <w:rFonts w:ascii="Times" w:hAnsi="Times" w:cs="Times New Roman"/>
          <w:sz w:val="24"/>
          <w:szCs w:val="24"/>
        </w:rPr>
        <w:t>Trumpener</w:t>
      </w:r>
      <w:proofErr w:type="spellEnd"/>
      <w:r w:rsidRPr="00043B0D">
        <w:rPr>
          <w:rFonts w:ascii="Times" w:hAnsi="Times" w:cs="Times New Roman"/>
          <w:sz w:val="24"/>
          <w:szCs w:val="24"/>
        </w:rPr>
        <w:t xml:space="preserve">, Ulrich, </w:t>
      </w:r>
      <w:r w:rsidRPr="00043B0D">
        <w:rPr>
          <w:rFonts w:ascii="Times" w:hAnsi="Times" w:cs="Times New Roman"/>
          <w:i/>
          <w:sz w:val="24"/>
          <w:szCs w:val="24"/>
        </w:rPr>
        <w:t>Germany and the Ottoman Empire 1914-1918</w:t>
      </w:r>
      <w:r w:rsidRPr="00043B0D">
        <w:rPr>
          <w:rFonts w:ascii="Times" w:hAnsi="Times" w:cs="Times New Roman"/>
          <w:sz w:val="24"/>
          <w:szCs w:val="24"/>
        </w:rPr>
        <w:t xml:space="preserve"> (Princeton, 1968).</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r w:rsidRPr="00043B0D">
        <w:rPr>
          <w:rFonts w:ascii="Times" w:hAnsi="Times" w:cs="Times New Roman"/>
          <w:sz w:val="24"/>
          <w:szCs w:val="24"/>
        </w:rPr>
        <w:lastRenderedPageBreak/>
        <w:t xml:space="preserve">Wavell, A. P., </w:t>
      </w:r>
      <w:r w:rsidRPr="00043B0D">
        <w:rPr>
          <w:rFonts w:ascii="Times" w:hAnsi="Times" w:cs="Times New Roman"/>
          <w:i/>
          <w:sz w:val="24"/>
          <w:szCs w:val="24"/>
        </w:rPr>
        <w:t>Palestine Campaigns</w:t>
      </w:r>
      <w:r w:rsidRPr="00043B0D">
        <w:rPr>
          <w:rFonts w:ascii="Times" w:hAnsi="Times" w:cs="Times New Roman"/>
          <w:sz w:val="24"/>
          <w:szCs w:val="24"/>
        </w:rPr>
        <w:t xml:space="preserve"> (London, 3rd ed. 1931).</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r w:rsidRPr="00043B0D">
        <w:rPr>
          <w:rFonts w:ascii="Times" w:hAnsi="Times" w:cs="Times New Roman"/>
          <w:sz w:val="24"/>
          <w:szCs w:val="24"/>
        </w:rPr>
        <w:t xml:space="preserve">Wilson, Arnold T., </w:t>
      </w:r>
      <w:r w:rsidRPr="00043B0D">
        <w:rPr>
          <w:rFonts w:ascii="Times" w:hAnsi="Times" w:cs="Times New Roman"/>
          <w:i/>
          <w:sz w:val="24"/>
          <w:szCs w:val="24"/>
        </w:rPr>
        <w:t>Loyalties: Mesopotamia 1914-1917</w:t>
      </w:r>
      <w:r w:rsidRPr="00043B0D">
        <w:rPr>
          <w:rFonts w:ascii="Times" w:hAnsi="Times" w:cs="Times New Roman"/>
          <w:sz w:val="24"/>
          <w:szCs w:val="24"/>
        </w:rPr>
        <w:t xml:space="preserve"> (London, 1930).</w:t>
      </w:r>
    </w:p>
    <w:p w:rsidR="00E61346" w:rsidRPr="00043B0D" w:rsidRDefault="00E61346" w:rsidP="00C620BC">
      <w:pPr>
        <w:autoSpaceDE w:val="0"/>
        <w:autoSpaceDN w:val="0"/>
        <w:bidi w:val="0"/>
        <w:adjustRightInd w:val="0"/>
        <w:spacing w:before="288" w:after="0" w:line="360" w:lineRule="auto"/>
        <w:ind w:left="84"/>
        <w:jc w:val="both"/>
        <w:rPr>
          <w:rFonts w:ascii="Times" w:hAnsi="Times" w:cs="Times New Roman"/>
          <w:sz w:val="24"/>
          <w:szCs w:val="24"/>
        </w:rPr>
      </w:pPr>
      <w:proofErr w:type="spellStart"/>
      <w:r w:rsidRPr="00043B0D">
        <w:rPr>
          <w:rFonts w:ascii="Times" w:hAnsi="Times" w:cs="Times New Roman"/>
          <w:sz w:val="24"/>
          <w:szCs w:val="24"/>
        </w:rPr>
        <w:t>Winstone</w:t>
      </w:r>
      <w:proofErr w:type="spellEnd"/>
      <w:r w:rsidRPr="00043B0D">
        <w:rPr>
          <w:rFonts w:ascii="Times" w:hAnsi="Times" w:cs="Times New Roman"/>
          <w:sz w:val="24"/>
          <w:szCs w:val="24"/>
        </w:rPr>
        <w:t xml:space="preserve">, H. V. F., </w:t>
      </w:r>
      <w:r w:rsidRPr="00043B0D">
        <w:rPr>
          <w:rFonts w:ascii="Times" w:hAnsi="Times" w:cs="Times New Roman"/>
          <w:i/>
          <w:sz w:val="24"/>
          <w:szCs w:val="24"/>
        </w:rPr>
        <w:t>The Illicit Adventure</w:t>
      </w:r>
      <w:r w:rsidRPr="00043B0D">
        <w:rPr>
          <w:rFonts w:ascii="Times" w:hAnsi="Times" w:cs="Times New Roman"/>
          <w:sz w:val="24"/>
          <w:szCs w:val="24"/>
        </w:rPr>
        <w:t xml:space="preserve"> (London, 1982).</w:t>
      </w:r>
    </w:p>
    <w:p w:rsidR="00253142" w:rsidRPr="00043B0D" w:rsidRDefault="00253142" w:rsidP="00C620BC">
      <w:pPr>
        <w:bidi w:val="0"/>
        <w:spacing w:line="360" w:lineRule="auto"/>
        <w:rPr>
          <w:rFonts w:ascii="Times" w:hAnsi="Times" w:cs="Times New Roman"/>
          <w:sz w:val="24"/>
          <w:szCs w:val="24"/>
          <w:rtl/>
        </w:rPr>
      </w:pPr>
      <w:r w:rsidRPr="00043B0D">
        <w:rPr>
          <w:rFonts w:ascii="Times" w:hAnsi="Times" w:cs="Times New Roman"/>
          <w:sz w:val="24"/>
          <w:szCs w:val="24"/>
          <w:rtl/>
        </w:rPr>
        <w:br w:type="page"/>
      </w:r>
    </w:p>
    <w:p w:rsidR="00E61346" w:rsidRPr="00043B0D" w:rsidRDefault="00E61346" w:rsidP="00C620BC">
      <w:pPr>
        <w:autoSpaceDE w:val="0"/>
        <w:autoSpaceDN w:val="0"/>
        <w:adjustRightInd w:val="0"/>
        <w:spacing w:before="288" w:after="0" w:line="360" w:lineRule="auto"/>
        <w:ind w:left="84"/>
        <w:jc w:val="both"/>
        <w:rPr>
          <w:rFonts w:ascii="Times" w:hAnsi="Times" w:cs="Times New Roman"/>
          <w:sz w:val="24"/>
          <w:szCs w:val="24"/>
        </w:rPr>
      </w:pPr>
    </w:p>
    <w:p w:rsidR="00E61346" w:rsidRPr="00043B0D" w:rsidRDefault="00E61346" w:rsidP="00C620BC">
      <w:pPr>
        <w:spacing w:line="360" w:lineRule="auto"/>
        <w:ind w:left="84"/>
        <w:rPr>
          <w:sz w:val="24"/>
          <w:szCs w:val="24"/>
        </w:rPr>
      </w:pPr>
    </w:p>
    <w:p w:rsidR="00253142" w:rsidRPr="00043B0D" w:rsidRDefault="00253142" w:rsidP="00C620BC">
      <w:pPr>
        <w:autoSpaceDE w:val="0"/>
        <w:autoSpaceDN w:val="0"/>
        <w:adjustRightInd w:val="0"/>
        <w:spacing w:before="288" w:after="0" w:line="360" w:lineRule="auto"/>
        <w:ind w:left="84"/>
        <w:jc w:val="both"/>
        <w:rPr>
          <w:rFonts w:ascii="Times New Roman" w:hAnsi="Times New Roman" w:cs="רמת גן"/>
          <w:bCs/>
          <w:sz w:val="24"/>
          <w:szCs w:val="24"/>
          <w:rtl/>
        </w:rPr>
      </w:pPr>
      <w:r w:rsidRPr="00043B0D">
        <w:rPr>
          <w:rFonts w:ascii="Times New Roman" w:hAnsi="Times New Roman" w:cs="רמת גן" w:hint="cs"/>
          <w:bCs/>
          <w:sz w:val="24"/>
          <w:szCs w:val="24"/>
          <w:rtl/>
        </w:rPr>
        <w:t>19-826-01</w:t>
      </w:r>
    </w:p>
    <w:p w:rsidR="00253142" w:rsidRPr="00043B0D" w:rsidRDefault="00253142" w:rsidP="00C620BC">
      <w:pPr>
        <w:autoSpaceDE w:val="0"/>
        <w:autoSpaceDN w:val="0"/>
        <w:adjustRightInd w:val="0"/>
        <w:spacing w:before="288" w:after="0" w:line="360" w:lineRule="auto"/>
        <w:ind w:left="84"/>
        <w:jc w:val="both"/>
        <w:rPr>
          <w:rFonts w:ascii="Times New Roman" w:hAnsi="Times New Roman" w:cs="רמת גן"/>
          <w:b/>
          <w:sz w:val="24"/>
          <w:szCs w:val="24"/>
          <w:rtl/>
        </w:rPr>
      </w:pPr>
      <w:r w:rsidRPr="00043B0D">
        <w:rPr>
          <w:rFonts w:ascii="Times New Roman" w:hAnsi="Times New Roman" w:cs="רמת גן"/>
          <w:bCs/>
          <w:sz w:val="24"/>
          <w:szCs w:val="24"/>
          <w:rtl/>
        </w:rPr>
        <w:t xml:space="preserve">שם המרצה: </w:t>
      </w:r>
      <w:r w:rsidRPr="00043B0D">
        <w:rPr>
          <w:rFonts w:ascii="Times New Roman" w:hAnsi="Times New Roman" w:cs="רמת גן"/>
          <w:b/>
          <w:sz w:val="24"/>
          <w:szCs w:val="24"/>
          <w:rtl/>
        </w:rPr>
        <w:t>פרופ' אליעזר טאובר</w:t>
      </w:r>
    </w:p>
    <w:p w:rsidR="00253142" w:rsidRPr="00043B0D" w:rsidRDefault="00253142" w:rsidP="00C620BC">
      <w:pPr>
        <w:autoSpaceDE w:val="0"/>
        <w:autoSpaceDN w:val="0"/>
        <w:adjustRightInd w:val="0"/>
        <w:spacing w:before="288" w:after="0" w:line="360" w:lineRule="auto"/>
        <w:ind w:left="84"/>
        <w:jc w:val="both"/>
        <w:rPr>
          <w:rFonts w:ascii="Times New Roman" w:hAnsi="Times New Roman" w:cs="רמת גן"/>
          <w:sz w:val="24"/>
          <w:szCs w:val="24"/>
          <w:rtl/>
        </w:rPr>
      </w:pPr>
      <w:r w:rsidRPr="00043B0D">
        <w:rPr>
          <w:rFonts w:ascii="Times New Roman" w:hAnsi="Times New Roman" w:cs="רמת גן" w:hint="cs"/>
          <w:bCs/>
          <w:sz w:val="24"/>
          <w:szCs w:val="24"/>
          <w:rtl/>
        </w:rPr>
        <w:t>שם</w:t>
      </w:r>
      <w:r w:rsidRPr="00043B0D">
        <w:rPr>
          <w:rFonts w:ascii="Times New Roman" w:hAnsi="Times New Roman" w:cs="רמת גן"/>
          <w:bCs/>
          <w:sz w:val="24"/>
          <w:szCs w:val="24"/>
          <w:rtl/>
        </w:rPr>
        <w:t xml:space="preserve"> הקורס:</w:t>
      </w:r>
      <w:r w:rsidRPr="00043B0D">
        <w:rPr>
          <w:rFonts w:ascii="Times New Roman" w:hAnsi="Times New Roman" w:cs="רמת גן" w:hint="cs"/>
          <w:sz w:val="24"/>
          <w:szCs w:val="24"/>
          <w:rtl/>
        </w:rPr>
        <w:t xml:space="preserve"> סוגיות במלחמת 1948</w:t>
      </w:r>
    </w:p>
    <w:p w:rsidR="00253142" w:rsidRPr="00043B0D" w:rsidRDefault="00253142" w:rsidP="00C620BC">
      <w:pPr>
        <w:autoSpaceDE w:val="0"/>
        <w:autoSpaceDN w:val="0"/>
        <w:adjustRightInd w:val="0"/>
        <w:spacing w:before="288" w:after="0" w:line="360" w:lineRule="auto"/>
        <w:ind w:left="84"/>
        <w:jc w:val="both"/>
        <w:rPr>
          <w:rFonts w:ascii="Times New Roman" w:hAnsi="Times New Roman" w:cs="רמת גן"/>
          <w:sz w:val="24"/>
          <w:szCs w:val="24"/>
          <w:rtl/>
        </w:rPr>
      </w:pPr>
      <w:r w:rsidRPr="00043B0D">
        <w:rPr>
          <w:rFonts w:ascii="Times New Roman" w:hAnsi="Times New Roman" w:cs="רמת גן" w:hint="cs"/>
          <w:bCs/>
          <w:sz w:val="24"/>
          <w:szCs w:val="24"/>
          <w:rtl/>
        </w:rPr>
        <w:t>תיאור הקורס</w:t>
      </w:r>
    </w:p>
    <w:p w:rsidR="00253142" w:rsidRPr="00043B0D" w:rsidRDefault="00253142" w:rsidP="00C620BC">
      <w:pPr>
        <w:autoSpaceDE w:val="0"/>
        <w:autoSpaceDN w:val="0"/>
        <w:adjustRightInd w:val="0"/>
        <w:spacing w:before="288" w:after="0" w:line="360" w:lineRule="auto"/>
        <w:ind w:left="84"/>
        <w:jc w:val="both"/>
        <w:rPr>
          <w:rFonts w:ascii="Times New Roman" w:hAnsi="Times New Roman" w:cs="רמת גן"/>
          <w:sz w:val="24"/>
          <w:szCs w:val="24"/>
          <w:rtl/>
        </w:rPr>
      </w:pPr>
      <w:r w:rsidRPr="00043B0D">
        <w:rPr>
          <w:rFonts w:ascii="Times New Roman" w:hAnsi="Times New Roman" w:cs="רמת גן" w:hint="cs"/>
          <w:sz w:val="24"/>
          <w:szCs w:val="24"/>
          <w:rtl/>
        </w:rPr>
        <w:t>הקורס, המיועד לתלמידי תואר שני ושלישי, יעסוק בסוגיות שונות הקשורות במלחמת 1948 בין ישראל, הפלסטינים ומדינות ערב. חלק מהסוגיות יועלו בידי מרצה הקורס וחלק בידי הסטודנטים משתתפיו. הסוגיות שבהן ידון מרצה הקורס תהיינה: הדרך לקבלת החלטת החלוקה באו"ם, הכוח הצבאי הפלסטיני בארץ ישראל בזמן המלחמה, ופרשת דיר יאסין.</w:t>
      </w:r>
    </w:p>
    <w:p w:rsidR="00253142" w:rsidRPr="00043B0D" w:rsidRDefault="00253142" w:rsidP="00C620BC">
      <w:pPr>
        <w:autoSpaceDE w:val="0"/>
        <w:autoSpaceDN w:val="0"/>
        <w:adjustRightInd w:val="0"/>
        <w:spacing w:before="288" w:after="0" w:line="360" w:lineRule="auto"/>
        <w:ind w:left="84"/>
        <w:jc w:val="both"/>
        <w:rPr>
          <w:rFonts w:ascii="Times New Roman" w:hAnsi="Times New Roman" w:cs="רמת גן"/>
          <w:sz w:val="24"/>
          <w:szCs w:val="24"/>
          <w:rtl/>
        </w:rPr>
      </w:pPr>
      <w:r w:rsidRPr="00043B0D">
        <w:rPr>
          <w:rFonts w:ascii="Times New Roman" w:hAnsi="Times New Roman" w:cs="רמת גן" w:hint="cs"/>
          <w:b/>
          <w:bCs/>
          <w:sz w:val="24"/>
          <w:szCs w:val="24"/>
          <w:rtl/>
        </w:rPr>
        <w:t>דרישות קדם:</w:t>
      </w:r>
      <w:r w:rsidRPr="00043B0D">
        <w:rPr>
          <w:rFonts w:ascii="Times New Roman" w:hAnsi="Times New Roman" w:cs="רמת גן" w:hint="cs"/>
          <w:sz w:val="24"/>
          <w:szCs w:val="24"/>
          <w:rtl/>
        </w:rPr>
        <w:t xml:space="preserve"> אין</w:t>
      </w:r>
    </w:p>
    <w:p w:rsidR="00253142" w:rsidRPr="00043B0D" w:rsidRDefault="00253142" w:rsidP="00C620BC">
      <w:pPr>
        <w:autoSpaceDE w:val="0"/>
        <w:autoSpaceDN w:val="0"/>
        <w:adjustRightInd w:val="0"/>
        <w:spacing w:before="288" w:after="0" w:line="360" w:lineRule="auto"/>
        <w:ind w:left="84"/>
        <w:jc w:val="both"/>
        <w:rPr>
          <w:rFonts w:ascii="Times New Roman" w:hAnsi="Times New Roman" w:cs="רמת גן"/>
          <w:sz w:val="24"/>
          <w:szCs w:val="24"/>
          <w:rtl/>
        </w:rPr>
      </w:pPr>
      <w:r w:rsidRPr="00043B0D">
        <w:rPr>
          <w:rFonts w:ascii="Times New Roman" w:hAnsi="Times New Roman" w:cs="רמת גן" w:hint="cs"/>
          <w:b/>
          <w:bCs/>
          <w:sz w:val="24"/>
          <w:szCs w:val="24"/>
          <w:rtl/>
        </w:rPr>
        <w:t>מרכיבי הציון הסופי</w:t>
      </w:r>
      <w:r w:rsidRPr="00043B0D">
        <w:rPr>
          <w:rFonts w:ascii="Times New Roman" w:hAnsi="Times New Roman" w:cs="רמת גן" w:hint="cs"/>
          <w:sz w:val="24"/>
          <w:szCs w:val="24"/>
          <w:rtl/>
        </w:rPr>
        <w:t xml:space="preserve">: </w:t>
      </w:r>
      <w:r w:rsidR="002F10CD" w:rsidRPr="00043B0D">
        <w:rPr>
          <w:rFonts w:ascii="Times New Roman" w:hAnsi="Times New Roman" w:cs="רמת גן" w:hint="cs"/>
          <w:sz w:val="24"/>
          <w:szCs w:val="24"/>
          <w:rtl/>
        </w:rPr>
        <w:t>רפרט + עבודה סמינריונית 100%</w:t>
      </w:r>
    </w:p>
    <w:p w:rsidR="00253142" w:rsidRPr="00043B0D" w:rsidRDefault="00253142" w:rsidP="00C620BC">
      <w:pPr>
        <w:autoSpaceDE w:val="0"/>
        <w:autoSpaceDN w:val="0"/>
        <w:adjustRightInd w:val="0"/>
        <w:spacing w:before="288" w:after="0" w:line="360" w:lineRule="auto"/>
        <w:ind w:left="84"/>
        <w:jc w:val="both"/>
        <w:rPr>
          <w:rFonts w:ascii="Times New Roman" w:hAnsi="Times New Roman" w:cs="רמת גן"/>
          <w:b/>
          <w:bCs/>
          <w:sz w:val="24"/>
          <w:szCs w:val="24"/>
          <w:rtl/>
        </w:rPr>
      </w:pPr>
      <w:r w:rsidRPr="00043B0D">
        <w:rPr>
          <w:rFonts w:ascii="Times New Roman" w:hAnsi="Times New Roman" w:cs="רמת גן"/>
          <w:b/>
          <w:bCs/>
          <w:sz w:val="24"/>
          <w:szCs w:val="24"/>
          <w:rtl/>
        </w:rPr>
        <w:t>ביבליוגרפיה</w:t>
      </w:r>
    </w:p>
    <w:p w:rsidR="002F10CD" w:rsidRPr="00043B0D" w:rsidRDefault="002F10CD" w:rsidP="00C620BC">
      <w:pPr>
        <w:autoSpaceDE w:val="0"/>
        <w:autoSpaceDN w:val="0"/>
        <w:adjustRightInd w:val="0"/>
        <w:spacing w:before="288" w:after="0" w:line="360" w:lineRule="auto"/>
        <w:ind w:left="84"/>
        <w:jc w:val="both"/>
        <w:rPr>
          <w:rFonts w:ascii="Times New Roman" w:hAnsi="Times New Roman" w:cs="רמת גן"/>
          <w:sz w:val="24"/>
          <w:szCs w:val="24"/>
          <w:rtl/>
        </w:rPr>
      </w:pPr>
      <w:r w:rsidRPr="00043B0D">
        <w:rPr>
          <w:rFonts w:ascii="Times New Roman" w:hAnsi="Times New Roman" w:cs="רמת גן" w:hint="cs"/>
          <w:sz w:val="24"/>
          <w:szCs w:val="24"/>
          <w:rtl/>
        </w:rPr>
        <w:t>כל תלמיד יאסוף ביבליוגרפיה רלבנטית לפי נושא מחקרו.</w:t>
      </w:r>
    </w:p>
    <w:p w:rsidR="00C66480" w:rsidRPr="00043B0D" w:rsidRDefault="004E554D" w:rsidP="00C620BC">
      <w:pPr>
        <w:spacing w:line="360" w:lineRule="auto"/>
        <w:ind w:left="84"/>
        <w:rPr>
          <w:sz w:val="24"/>
          <w:szCs w:val="24"/>
        </w:rPr>
      </w:pPr>
    </w:p>
    <w:sectPr w:rsidR="00C66480" w:rsidRPr="00043B0D" w:rsidSect="006C6FA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רמת גן">
    <w:altName w:val="Arial"/>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27B83"/>
    <w:multiLevelType w:val="hybridMultilevel"/>
    <w:tmpl w:val="22883822"/>
    <w:lvl w:ilvl="0" w:tplc="416C3C6A">
      <w:start w:val="1"/>
      <w:numFmt w:val="hebrew1"/>
      <w:lvlText w:val="%1."/>
      <w:lvlJc w:val="left"/>
      <w:pPr>
        <w:ind w:left="720" w:hanging="360"/>
      </w:pPr>
      <w:rPr>
        <w:rFonts w:ascii="David" w:eastAsia="David" w:hAnsi="David" w:hint="default"/>
        <w:b/>
        <w:color w:val="0000FF"/>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346"/>
    <w:rsid w:val="00043B0D"/>
    <w:rsid w:val="000570FC"/>
    <w:rsid w:val="00057A43"/>
    <w:rsid w:val="000B3970"/>
    <w:rsid w:val="00253142"/>
    <w:rsid w:val="002E0655"/>
    <w:rsid w:val="002F10CD"/>
    <w:rsid w:val="00493039"/>
    <w:rsid w:val="004E554D"/>
    <w:rsid w:val="0054184A"/>
    <w:rsid w:val="00571B77"/>
    <w:rsid w:val="0066256B"/>
    <w:rsid w:val="006C6FA8"/>
    <w:rsid w:val="008D553D"/>
    <w:rsid w:val="008D68D8"/>
    <w:rsid w:val="00AC3F36"/>
    <w:rsid w:val="00C51765"/>
    <w:rsid w:val="00C620BC"/>
    <w:rsid w:val="00CA1DD8"/>
    <w:rsid w:val="00D51315"/>
    <w:rsid w:val="00E61346"/>
    <w:rsid w:val="00EE6B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B000D"/>
  <w15:chartTrackingRefBased/>
  <w15:docId w15:val="{5221008F-D8C5-4E33-B8C5-653F3E0E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61346"/>
    <w:pPr>
      <w:bidi/>
    </w:pPr>
    <w:rPr>
      <w:rFonts w:eastAsiaTheme="minorEastAsi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הערת שוליים מעוצבת"/>
    <w:basedOn w:val="a"/>
    <w:link w:val="a4"/>
    <w:qFormat/>
    <w:rsid w:val="00057A43"/>
    <w:pPr>
      <w:tabs>
        <w:tab w:val="right" w:pos="284"/>
        <w:tab w:val="left" w:pos="426"/>
      </w:tabs>
      <w:autoSpaceDE w:val="0"/>
      <w:autoSpaceDN w:val="0"/>
      <w:bidi w:val="0"/>
      <w:adjustRightInd w:val="0"/>
      <w:spacing w:after="0" w:line="480" w:lineRule="auto"/>
      <w:ind w:left="426" w:hanging="426"/>
      <w:jc w:val="both"/>
    </w:pPr>
    <w:rPr>
      <w:rFonts w:ascii="Times New Roman" w:eastAsiaTheme="minorHAnsi" w:hAnsi="Times New Roman" w:cs="Arial"/>
      <w:sz w:val="24"/>
      <w:szCs w:val="24"/>
    </w:rPr>
  </w:style>
  <w:style w:type="character" w:customStyle="1" w:styleId="a4">
    <w:name w:val="הערת שוליים מעוצבת תו"/>
    <w:link w:val="a3"/>
    <w:locked/>
    <w:rsid w:val="00057A43"/>
    <w:rPr>
      <w:rFonts w:ascii="Times New Roman" w:hAnsi="Times New Roman"/>
    </w:rPr>
  </w:style>
  <w:style w:type="paragraph" w:customStyle="1" w:styleId="a5">
    <w:name w:val="הערת שוליים עברית"/>
    <w:basedOn w:val="a6"/>
    <w:qFormat/>
    <w:rsid w:val="008D553D"/>
    <w:pPr>
      <w:tabs>
        <w:tab w:val="left" w:pos="342"/>
      </w:tabs>
      <w:spacing w:before="0"/>
      <w:ind w:left="380" w:hanging="380"/>
    </w:pPr>
    <w:rPr>
      <w:rFonts w:asciiTheme="minorBidi" w:eastAsiaTheme="minorEastAsia" w:hAnsiTheme="minorBidi"/>
    </w:rPr>
  </w:style>
  <w:style w:type="paragraph" w:customStyle="1" w:styleId="a7">
    <w:name w:val="פסקה מוכנסת"/>
    <w:basedOn w:val="a6"/>
    <w:link w:val="a8"/>
    <w:qFormat/>
    <w:rsid w:val="00057A43"/>
    <w:pPr>
      <w:ind w:left="342" w:firstLine="0"/>
    </w:pPr>
    <w:rPr>
      <w:rFonts w:asciiTheme="minorBidi" w:hAnsiTheme="minorBidi"/>
    </w:rPr>
  </w:style>
  <w:style w:type="character" w:customStyle="1" w:styleId="a8">
    <w:name w:val="פסקה מוכנסת תו"/>
    <w:basedOn w:val="a9"/>
    <w:link w:val="a7"/>
    <w:rsid w:val="00057A43"/>
    <w:rPr>
      <w:rFonts w:asciiTheme="minorBidi" w:hAnsiTheme="minorBidi" w:cstheme="minorBidi"/>
    </w:rPr>
  </w:style>
  <w:style w:type="paragraph" w:customStyle="1" w:styleId="a6">
    <w:name w:val="פסקה עברית"/>
    <w:basedOn w:val="a"/>
    <w:link w:val="a9"/>
    <w:qFormat/>
    <w:rsid w:val="00EE6B84"/>
    <w:pPr>
      <w:autoSpaceDE w:val="0"/>
      <w:autoSpaceDN w:val="0"/>
      <w:adjustRightInd w:val="0"/>
      <w:spacing w:before="288" w:after="0" w:line="480" w:lineRule="auto"/>
      <w:ind w:firstLine="380"/>
      <w:jc w:val="both"/>
    </w:pPr>
    <w:rPr>
      <w:rFonts w:ascii="Times New Roman" w:eastAsiaTheme="minorHAnsi" w:hAnsi="Times New Roman"/>
      <w:sz w:val="24"/>
      <w:szCs w:val="24"/>
    </w:rPr>
  </w:style>
  <w:style w:type="character" w:customStyle="1" w:styleId="a9">
    <w:name w:val="פסקה עברית תו"/>
    <w:basedOn w:val="a0"/>
    <w:link w:val="a6"/>
    <w:locked/>
    <w:rsid w:val="00EE6B84"/>
    <w:rPr>
      <w:rFonts w:ascii="Times New Roman" w:hAnsi="Times New Roman" w:cstheme="minorBidi"/>
    </w:rPr>
  </w:style>
  <w:style w:type="paragraph" w:customStyle="1" w:styleId="Englishfootnote">
    <w:name w:val="English footnote"/>
    <w:basedOn w:val="aa"/>
    <w:qFormat/>
    <w:rsid w:val="000B3970"/>
    <w:pPr>
      <w:bidi w:val="0"/>
      <w:spacing w:before="160"/>
      <w:jc w:val="both"/>
    </w:pPr>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0B3970"/>
    <w:pPr>
      <w:spacing w:after="0" w:line="240" w:lineRule="auto"/>
    </w:pPr>
    <w:rPr>
      <w:rFonts w:eastAsiaTheme="minorHAnsi" w:cs="Arial"/>
      <w:sz w:val="20"/>
      <w:szCs w:val="20"/>
    </w:rPr>
  </w:style>
  <w:style w:type="character" w:customStyle="1" w:styleId="ab">
    <w:name w:val="טקסט הערת סיום תו"/>
    <w:basedOn w:val="a0"/>
    <w:link w:val="aa"/>
    <w:uiPriority w:val="99"/>
    <w:semiHidden/>
    <w:rsid w:val="000B3970"/>
    <w:rPr>
      <w:sz w:val="20"/>
      <w:szCs w:val="20"/>
    </w:rPr>
  </w:style>
  <w:style w:type="paragraph" w:styleId="ac">
    <w:name w:val="List Paragraph"/>
    <w:basedOn w:val="a"/>
    <w:uiPriority w:val="34"/>
    <w:qFormat/>
    <w:rsid w:val="000570FC"/>
    <w:pPr>
      <w:ind w:left="720"/>
      <w:contextualSpacing/>
    </w:pPr>
  </w:style>
  <w:style w:type="character" w:styleId="ad">
    <w:name w:val="annotation reference"/>
    <w:basedOn w:val="a0"/>
    <w:uiPriority w:val="99"/>
    <w:semiHidden/>
    <w:unhideWhenUsed/>
    <w:rsid w:val="000570FC"/>
    <w:rPr>
      <w:sz w:val="16"/>
      <w:szCs w:val="16"/>
    </w:rPr>
  </w:style>
  <w:style w:type="paragraph" w:styleId="ae">
    <w:name w:val="annotation text"/>
    <w:basedOn w:val="a"/>
    <w:link w:val="af"/>
    <w:uiPriority w:val="99"/>
    <w:semiHidden/>
    <w:unhideWhenUsed/>
    <w:rsid w:val="000570FC"/>
    <w:pPr>
      <w:spacing w:line="240" w:lineRule="auto"/>
    </w:pPr>
    <w:rPr>
      <w:sz w:val="20"/>
      <w:szCs w:val="20"/>
    </w:rPr>
  </w:style>
  <w:style w:type="character" w:customStyle="1" w:styleId="af">
    <w:name w:val="טקסט הערה תו"/>
    <w:basedOn w:val="a0"/>
    <w:link w:val="ae"/>
    <w:uiPriority w:val="99"/>
    <w:semiHidden/>
    <w:rsid w:val="000570FC"/>
    <w:rPr>
      <w:rFonts w:eastAsiaTheme="minorEastAsia" w:cstheme="minorBidi"/>
      <w:sz w:val="20"/>
      <w:szCs w:val="20"/>
    </w:rPr>
  </w:style>
  <w:style w:type="paragraph" w:styleId="af0">
    <w:name w:val="annotation subject"/>
    <w:basedOn w:val="ae"/>
    <w:next w:val="ae"/>
    <w:link w:val="af1"/>
    <w:uiPriority w:val="99"/>
    <w:semiHidden/>
    <w:unhideWhenUsed/>
    <w:rsid w:val="000570FC"/>
    <w:rPr>
      <w:b/>
      <w:bCs/>
    </w:rPr>
  </w:style>
  <w:style w:type="character" w:customStyle="1" w:styleId="af1">
    <w:name w:val="נושא הערה תו"/>
    <w:basedOn w:val="af"/>
    <w:link w:val="af0"/>
    <w:uiPriority w:val="99"/>
    <w:semiHidden/>
    <w:rsid w:val="000570FC"/>
    <w:rPr>
      <w:rFonts w:eastAsiaTheme="minorEastAsia" w:cstheme="minorBidi"/>
      <w:b/>
      <w:bCs/>
      <w:sz w:val="20"/>
      <w:szCs w:val="20"/>
    </w:rPr>
  </w:style>
  <w:style w:type="paragraph" w:styleId="af2">
    <w:name w:val="Balloon Text"/>
    <w:basedOn w:val="a"/>
    <w:link w:val="af3"/>
    <w:uiPriority w:val="99"/>
    <w:semiHidden/>
    <w:unhideWhenUsed/>
    <w:rsid w:val="000570FC"/>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570FC"/>
    <w:rPr>
      <w:rFonts w:ascii="Tahoma" w:eastAsiaTheme="minorEastAsi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1053</Words>
  <Characters>5267</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אושרית דאבוש</cp:lastModifiedBy>
  <cp:revision>9</cp:revision>
  <dcterms:created xsi:type="dcterms:W3CDTF">2020-05-07T12:22:00Z</dcterms:created>
  <dcterms:modified xsi:type="dcterms:W3CDTF">2020-08-17T11:25:00Z</dcterms:modified>
</cp:coreProperties>
</file>